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2400" w:after="120"/>
        <w:rPr/>
      </w:pPr>
      <w:r>
        <w:rPr/>
      </w:r>
    </w:p>
    <w:p>
      <w:pPr>
        <w:pStyle w:val="Normal"/>
        <w:spacing w:before="0" w:after="80"/>
        <w:rPr/>
      </w:pPr>
      <w:r>
        <w:rPr>
          <w:b/>
          <w:bCs/>
          <w:color w:val="B8892A"/>
          <w:spacing w:val="40"/>
        </w:rPr>
        <w:t>INFORME TÉCNICO  ·  PRODUCTO</w:t>
      </w:r>
    </w:p>
    <w:p>
      <w:pPr>
        <w:pStyle w:val="Normal"/>
        <w:pBdr>
          <w:bottom w:val="single" w:sz="20" w:space="6" w:color="B8892A"/>
        </w:pBdr>
        <w:spacing w:before="0" w:after="400"/>
        <w:rPr/>
      </w:pPr>
      <w:r>
        <w:rPr/>
      </w:r>
    </w:p>
    <w:p>
      <w:pPr>
        <w:pStyle w:val="Normal"/>
        <w:spacing w:before="0" w:after="120"/>
        <w:rPr/>
      </w:pPr>
      <w:r>
        <w:rPr>
          <w:rFonts w:eastAsia="Georgia" w:cs="Georgia" w:ascii="Georgia" w:hAnsi="Georgia"/>
          <w:b/>
          <w:bCs/>
          <w:color w:val="0B1F3A"/>
          <w:sz w:val="72"/>
          <w:szCs w:val="72"/>
        </w:rPr>
        <w:t>Módulo de Importaciones</w:t>
      </w:r>
    </w:p>
    <w:p>
      <w:pPr>
        <w:pStyle w:val="Normal"/>
        <w:spacing w:before="0" w:after="480"/>
        <w:rPr/>
      </w:pPr>
      <w:r>
        <w:rPr>
          <w:rFonts w:eastAsia="Georgia" w:cs="Georgia" w:ascii="Georgia" w:hAnsi="Georgia"/>
          <w:i/>
          <w:iCs/>
          <w:color w:val="B8892A"/>
          <w:sz w:val="36"/>
          <w:szCs w:val="36"/>
        </w:rPr>
        <w:t>PRD · Autos Korea / Japón  ·  Consumo masivo China</w:t>
      </w:r>
    </w:p>
    <w:p>
      <w:pPr>
        <w:pStyle w:val="Normal"/>
        <w:spacing w:before="0" w:after="80"/>
        <w:rPr/>
      </w:pPr>
      <w:r>
        <w:rPr>
          <w:color w:val="14294C"/>
          <w:sz w:val="26"/>
          <w:szCs w:val="26"/>
        </w:rPr>
        <w:t>Especificación funcional y técnica</w:t>
      </w:r>
    </w:p>
    <w:p>
      <w:pPr>
        <w:pStyle w:val="Normal"/>
        <w:spacing w:before="0" w:after="480"/>
        <w:rPr/>
      </w:pPr>
      <w:r>
        <w:rPr>
          <w:i/>
          <w:iCs/>
          <w:color w:val="4A5568"/>
        </w:rPr>
        <w:t>Costeo unitario · Escribanías · Despacho aduanero · Multi-moneda USD / Gs.</w:t>
      </w:r>
    </w:p>
    <w:tbl>
      <w:tblPr>
        <w:tblW w:w="9026" w:type="dxa"/>
        <w:jc w:val="left"/>
        <w:tblInd w:w="0" w:type="dxa"/>
        <w:tblLayout w:type="fixed"/>
        <w:tblCellMar>
          <w:top w:w="100" w:type="dxa"/>
          <w:left w:w="160" w:type="dxa"/>
          <w:bottom w:w="100" w:type="dxa"/>
          <w:right w:w="120" w:type="dxa"/>
        </w:tblCellMar>
        <w:tblLook w:val="0000" w:noHBand="0" w:noVBand="0" w:firstColumn="0" w:lastRow="0" w:lastColumn="0" w:firstRow="0"/>
      </w:tblPr>
      <w:tblGrid>
        <w:gridCol w:w="3000"/>
        <w:gridCol w:w="6025"/>
      </w:tblGrid>
      <w:tr>
        <w:trPr/>
        <w:tc>
          <w:tcPr>
            <w:tcW w:w="3000" w:type="dxa"/>
            <w:tcBorders>
              <w:top w:val="single" w:sz="4" w:space="0" w:color="CFCABE"/>
              <w:left w:val="single" w:sz="16" w:space="0" w:color="B8892A"/>
              <w:bottom w:val="single" w:sz="4" w:space="0" w:color="CFCABE"/>
              <w:right w:val="single" w:sz="4" w:space="0" w:color="CFCABE"/>
            </w:tcBorders>
          </w:tcPr>
          <w:p>
            <w:pPr>
              <w:pStyle w:val="Normal"/>
              <w:rPr/>
            </w:pPr>
            <w:r>
              <w:rPr>
                <w:b/>
                <w:bCs/>
                <w:color w:val="B8892A"/>
                <w:spacing w:val="20"/>
                <w:sz w:val="18"/>
                <w:szCs w:val="18"/>
              </w:rPr>
              <w:t>PRODUCTO</w:t>
            </w:r>
          </w:p>
        </w:tc>
        <w:tc>
          <w:tcPr>
            <w:tcW w:w="6025" w:type="dxa"/>
            <w:tcBorders>
              <w:top w:val="single" w:sz="4" w:space="0" w:color="CFCABE"/>
              <w:left w:val="single" w:sz="4" w:space="0" w:color="CFCABE"/>
              <w:bottom w:val="single" w:sz="4" w:space="0" w:color="CFCABE"/>
              <w:right w:val="single" w:sz="4" w:space="0" w:color="CFCABE"/>
            </w:tcBorders>
            <w:tcMar>
              <w:right w:w="160" w:type="dxa"/>
            </w:tcMar>
          </w:tcPr>
          <w:p>
            <w:pPr>
              <w:pStyle w:val="Normal"/>
              <w:rPr/>
            </w:pPr>
            <w:r>
              <w:rPr>
                <w:color w:val="0B1F3A"/>
              </w:rPr>
              <w:t>novasis — Gestión Futura100</w:t>
            </w:r>
          </w:p>
        </w:tc>
      </w:tr>
      <w:tr>
        <w:trPr/>
        <w:tc>
          <w:tcPr>
            <w:tcW w:w="3000" w:type="dxa"/>
            <w:tcBorders>
              <w:top w:val="single" w:sz="4" w:space="0" w:color="CFCABE"/>
              <w:left w:val="single" w:sz="16" w:space="0" w:color="B8892A"/>
              <w:bottom w:val="single" w:sz="4" w:space="0" w:color="CFCABE"/>
              <w:right w:val="single" w:sz="4" w:space="0" w:color="CFCABE"/>
            </w:tcBorders>
          </w:tcPr>
          <w:p>
            <w:pPr>
              <w:pStyle w:val="Normal"/>
              <w:rPr/>
            </w:pPr>
            <w:r>
              <w:rPr>
                <w:b/>
                <w:bCs/>
                <w:color w:val="B8892A"/>
                <w:spacing w:val="20"/>
                <w:sz w:val="18"/>
                <w:szCs w:val="18"/>
              </w:rPr>
              <w:t>MÓDULO</w:t>
            </w:r>
          </w:p>
        </w:tc>
        <w:tc>
          <w:tcPr>
            <w:tcW w:w="6025" w:type="dxa"/>
            <w:tcBorders>
              <w:top w:val="single" w:sz="4" w:space="0" w:color="CFCABE"/>
              <w:left w:val="single" w:sz="4" w:space="0" w:color="CFCABE"/>
              <w:bottom w:val="single" w:sz="4" w:space="0" w:color="CFCABE"/>
              <w:right w:val="single" w:sz="4" w:space="0" w:color="CFCABE"/>
            </w:tcBorders>
            <w:tcMar>
              <w:right w:w="160" w:type="dxa"/>
            </w:tcMar>
          </w:tcPr>
          <w:p>
            <w:pPr>
              <w:pStyle w:val="Normal"/>
              <w:rPr/>
            </w:pPr>
            <w:r>
              <w:rPr>
                <w:color w:val="0B1F3A"/>
              </w:rPr>
              <w:t>Importaciones (Imp-01)</w:t>
            </w:r>
          </w:p>
        </w:tc>
      </w:tr>
      <w:tr>
        <w:trPr/>
        <w:tc>
          <w:tcPr>
            <w:tcW w:w="3000" w:type="dxa"/>
            <w:tcBorders>
              <w:top w:val="single" w:sz="4" w:space="0" w:color="CFCABE"/>
              <w:left w:val="single" w:sz="16" w:space="0" w:color="B8892A"/>
              <w:bottom w:val="single" w:sz="4" w:space="0" w:color="CFCABE"/>
              <w:right w:val="single" w:sz="4" w:space="0" w:color="CFCABE"/>
            </w:tcBorders>
          </w:tcPr>
          <w:p>
            <w:pPr>
              <w:pStyle w:val="Normal"/>
              <w:rPr/>
            </w:pPr>
            <w:r>
              <w:rPr>
                <w:b/>
                <w:bCs/>
                <w:color w:val="B8892A"/>
                <w:spacing w:val="20"/>
                <w:sz w:val="18"/>
                <w:szCs w:val="18"/>
              </w:rPr>
              <w:t>VERSIÓN</w:t>
            </w:r>
          </w:p>
        </w:tc>
        <w:tc>
          <w:tcPr>
            <w:tcW w:w="6025" w:type="dxa"/>
            <w:tcBorders>
              <w:top w:val="single" w:sz="4" w:space="0" w:color="CFCABE"/>
              <w:left w:val="single" w:sz="4" w:space="0" w:color="CFCABE"/>
              <w:bottom w:val="single" w:sz="4" w:space="0" w:color="CFCABE"/>
              <w:right w:val="single" w:sz="4" w:space="0" w:color="CFCABE"/>
            </w:tcBorders>
            <w:tcMar>
              <w:right w:w="160" w:type="dxa"/>
            </w:tcMar>
          </w:tcPr>
          <w:p>
            <w:pPr>
              <w:pStyle w:val="Normal"/>
              <w:rPr/>
            </w:pPr>
            <w:r>
              <w:rPr>
                <w:color w:val="0B1F3A"/>
              </w:rPr>
              <w:t>1.0</w:t>
            </w:r>
          </w:p>
        </w:tc>
      </w:tr>
      <w:tr>
        <w:trPr/>
        <w:tc>
          <w:tcPr>
            <w:tcW w:w="3000" w:type="dxa"/>
            <w:tcBorders>
              <w:top w:val="single" w:sz="4" w:space="0" w:color="CFCABE"/>
              <w:left w:val="single" w:sz="16" w:space="0" w:color="B8892A"/>
              <w:bottom w:val="single" w:sz="4" w:space="0" w:color="CFCABE"/>
              <w:right w:val="single" w:sz="4" w:space="0" w:color="CFCABE"/>
            </w:tcBorders>
          </w:tcPr>
          <w:p>
            <w:pPr>
              <w:pStyle w:val="Normal"/>
              <w:rPr/>
            </w:pPr>
            <w:r>
              <w:rPr>
                <w:b/>
                <w:bCs/>
                <w:color w:val="B8892A"/>
                <w:spacing w:val="20"/>
                <w:sz w:val="18"/>
                <w:szCs w:val="18"/>
              </w:rPr>
              <w:t>FECHA</w:t>
            </w:r>
          </w:p>
        </w:tc>
        <w:tc>
          <w:tcPr>
            <w:tcW w:w="6025" w:type="dxa"/>
            <w:tcBorders>
              <w:top w:val="single" w:sz="4" w:space="0" w:color="CFCABE"/>
              <w:left w:val="single" w:sz="4" w:space="0" w:color="CFCABE"/>
              <w:bottom w:val="single" w:sz="4" w:space="0" w:color="CFCABE"/>
              <w:right w:val="single" w:sz="4" w:space="0" w:color="CFCABE"/>
            </w:tcBorders>
            <w:tcMar>
              <w:right w:w="160" w:type="dxa"/>
            </w:tcMar>
          </w:tcPr>
          <w:p>
            <w:pPr>
              <w:pStyle w:val="Normal"/>
              <w:rPr/>
            </w:pPr>
            <w:r>
              <w:rPr>
                <w:color w:val="0B1F3A"/>
              </w:rPr>
              <w:t>Abril 2026</w:t>
            </w:r>
          </w:p>
        </w:tc>
      </w:tr>
      <w:tr>
        <w:trPr/>
        <w:tc>
          <w:tcPr>
            <w:tcW w:w="3000" w:type="dxa"/>
            <w:tcBorders>
              <w:top w:val="single" w:sz="4" w:space="0" w:color="CFCABE"/>
              <w:left w:val="single" w:sz="16" w:space="0" w:color="B8892A"/>
              <w:bottom w:val="single" w:sz="4" w:space="0" w:color="CFCABE"/>
              <w:right w:val="single" w:sz="4" w:space="0" w:color="CFCABE"/>
            </w:tcBorders>
          </w:tcPr>
          <w:p>
            <w:pPr>
              <w:pStyle w:val="Normal"/>
              <w:rPr/>
            </w:pPr>
            <w:r>
              <w:rPr>
                <w:b/>
                <w:bCs/>
                <w:color w:val="B8892A"/>
                <w:spacing w:val="20"/>
                <w:sz w:val="18"/>
                <w:szCs w:val="18"/>
              </w:rPr>
              <w:t>AUDIENCIA</w:t>
            </w:r>
          </w:p>
        </w:tc>
        <w:tc>
          <w:tcPr>
            <w:tcW w:w="6025" w:type="dxa"/>
            <w:tcBorders>
              <w:top w:val="single" w:sz="4" w:space="0" w:color="CFCABE"/>
              <w:left w:val="single" w:sz="4" w:space="0" w:color="CFCABE"/>
              <w:bottom w:val="single" w:sz="4" w:space="0" w:color="CFCABE"/>
              <w:right w:val="single" w:sz="4" w:space="0" w:color="CFCABE"/>
            </w:tcBorders>
            <w:tcMar>
              <w:right w:w="160" w:type="dxa"/>
            </w:tcMar>
          </w:tcPr>
          <w:p>
            <w:pPr>
              <w:pStyle w:val="Normal"/>
              <w:rPr/>
            </w:pPr>
            <w:r>
              <w:rPr>
                <w:color w:val="0B1F3A"/>
              </w:rPr>
              <w:t>Equipo de producto y desarrollo — novasis</w:t>
            </w:r>
          </w:p>
        </w:tc>
      </w:tr>
      <w:tr>
        <w:trPr/>
        <w:tc>
          <w:tcPr>
            <w:tcW w:w="3000" w:type="dxa"/>
            <w:tcBorders>
              <w:top w:val="single" w:sz="4" w:space="0" w:color="CFCABE"/>
              <w:left w:val="single" w:sz="16" w:space="0" w:color="B8892A"/>
              <w:bottom w:val="single" w:sz="4" w:space="0" w:color="CFCABE"/>
              <w:right w:val="single" w:sz="4" w:space="0" w:color="CFCABE"/>
            </w:tcBorders>
          </w:tcPr>
          <w:p>
            <w:pPr>
              <w:pStyle w:val="Normal"/>
              <w:rPr/>
            </w:pPr>
            <w:r>
              <w:rPr>
                <w:b/>
                <w:bCs/>
                <w:color w:val="B8892A"/>
                <w:spacing w:val="20"/>
                <w:sz w:val="18"/>
                <w:szCs w:val="18"/>
              </w:rPr>
              <w:t>ESTADO</w:t>
            </w:r>
          </w:p>
        </w:tc>
        <w:tc>
          <w:tcPr>
            <w:tcW w:w="6025" w:type="dxa"/>
            <w:tcBorders>
              <w:top w:val="single" w:sz="4" w:space="0" w:color="CFCABE"/>
              <w:left w:val="single" w:sz="4" w:space="0" w:color="CFCABE"/>
              <w:bottom w:val="single" w:sz="4" w:space="0" w:color="CFCABE"/>
              <w:right w:val="single" w:sz="4" w:space="0" w:color="CFCABE"/>
            </w:tcBorders>
            <w:tcMar>
              <w:right w:w="160" w:type="dxa"/>
            </w:tcMar>
          </w:tcPr>
          <w:p>
            <w:pPr>
              <w:pStyle w:val="Normal"/>
              <w:rPr/>
            </w:pPr>
            <w:r>
              <w:rPr>
                <w:color w:val="0B1F3A"/>
              </w:rPr>
              <w:t>Borrador para revisión interna</w:t>
            </w:r>
          </w:p>
        </w:tc>
      </w:tr>
      <w:tr>
        <w:trPr/>
        <w:tc>
          <w:tcPr>
            <w:tcW w:w="3000" w:type="dxa"/>
            <w:tcBorders>
              <w:top w:val="single" w:sz="4" w:space="0" w:color="CFCABE"/>
              <w:left w:val="single" w:sz="16" w:space="0" w:color="B8892A"/>
              <w:bottom w:val="single" w:sz="4" w:space="0" w:color="CFCABE"/>
              <w:right w:val="single" w:sz="4" w:space="0" w:color="CFCABE"/>
            </w:tcBorders>
          </w:tcPr>
          <w:p>
            <w:pPr>
              <w:pStyle w:val="Normal"/>
              <w:rPr/>
            </w:pPr>
            <w:r>
              <w:rPr>
                <w:b/>
                <w:bCs/>
                <w:color w:val="B8892A"/>
                <w:spacing w:val="20"/>
                <w:sz w:val="18"/>
                <w:szCs w:val="18"/>
              </w:rPr>
              <w:t>PREPARADO POR</w:t>
            </w:r>
          </w:p>
        </w:tc>
        <w:tc>
          <w:tcPr>
            <w:tcW w:w="6025" w:type="dxa"/>
            <w:tcBorders>
              <w:top w:val="single" w:sz="4" w:space="0" w:color="CFCABE"/>
              <w:left w:val="single" w:sz="4" w:space="0" w:color="CFCABE"/>
              <w:bottom w:val="single" w:sz="4" w:space="0" w:color="CFCABE"/>
              <w:right w:val="single" w:sz="4" w:space="0" w:color="CFCABE"/>
            </w:tcBorders>
            <w:tcMar>
              <w:right w:w="160" w:type="dxa"/>
            </w:tcMar>
          </w:tcPr>
          <w:p>
            <w:pPr>
              <w:pStyle w:val="Normal"/>
              <w:rPr/>
            </w:pPr>
            <w:r>
              <w:rPr>
                <w:color w:val="0B1F3A"/>
              </w:rPr>
              <w:t>Equipo de producto · novasis</w:t>
            </w:r>
          </w:p>
        </w:tc>
      </w:tr>
    </w:tbl>
    <w:p>
      <w:pPr>
        <w:sectPr>
          <w:type w:val="nextPage"/>
          <w:pgSz w:w="11906" w:h="16838"/>
          <w:pgMar w:left="1440" w:right="1440" w:gutter="0" w:header="0" w:top="1440" w:footer="0" w:bottom="1440"/>
          <w:pgNumType w:fmt="decimal"/>
          <w:formProt w:val="false"/>
          <w:textDirection w:val="lrTb"/>
          <w:docGrid w:type="default" w:linePitch="360" w:charSpace="4096"/>
        </w:sectPr>
        <w:pStyle w:val="Normal"/>
        <w:rPr/>
      </w:pPr>
      <w:r>
        <w:rPr/>
      </w:r>
      <w:r>
        <w:br w:type="page"/>
      </w:r>
    </w:p>
    <w:p>
      <w:pPr>
        <w:pStyle w:val="Heading1"/>
        <w:rPr/>
      </w:pPr>
      <w:r>
        <w:rPr/>
        <w:t>1. Resumen ejecutivo</w:t>
      </w:r>
    </w:p>
    <w:p>
      <w:pPr>
        <w:pStyle w:val="Normal"/>
        <w:spacing w:before="0" w:after="120"/>
        <w:jc w:val="both"/>
        <w:rPr/>
      </w:pPr>
      <w:r>
        <w:rPr/>
        <w:t>Este documento especifica el Módulo de Importaciones de novasis, orientado a dos perfiles de cliente del segmento PyME paraguayo: (i) importadoras de vehículos usados desde Corea del Sur y Japón, y (ii) importadoras de productos de consumo masivo desde China. Ambos perfiles comparten un mismo esqueleto de costeo multi-capa —origen, flete, aduana, destino— pero difieren en dos dimensiones clave: la unidad de costeo (cada vehículo es una unidad única; los productos chinos se costean por lote y se prorratean por ítem) y la existencia de escribanías tercerizadas para formalizar la transferencia al cliente final en el caso de autos.</w:t>
      </w:r>
    </w:p>
    <w:p>
      <w:pPr>
        <w:pStyle w:val="Normal"/>
        <w:spacing w:before="0" w:after="120"/>
        <w:jc w:val="both"/>
        <w:rPr/>
      </w:pPr>
      <w:r>
        <w:rPr/>
        <w:t>El módulo está diseñado para calcular el costo unitario real de cada ítem importado, integrando precio en origen, impuestos y gastos de origen, flete y seguro, despacho aduanero, impuestos de importación, costos de puerto y logística interna, gestoría y un rubro específico de "gastos extras de gestión" que cubre pagos informales de aceleración, registrados como un concepto genérico sin referencias a terceros. Para autos se suma la gestión de escribanías con tarifarios diferenciados por escribanía y tipo de trámite.</w:t>
      </w:r>
    </w:p>
    <w:p>
      <w:pPr>
        <w:pStyle w:val="Normal"/>
        <w:spacing w:before="0" w:after="120"/>
        <w:jc w:val="both"/>
        <w:rPr/>
      </w:pPr>
      <w:r>
        <w:rPr/>
        <w:t>La moneda base de registración es el guaraní (Gs.). Todo valor en origen se captura en dólares estadounidenses (USD) y se convierte a Gs. con la cotización del día de la operación (congelada al cierre del despacho para trazabilidad). El módulo provee costeo en tiempo real antes del despacho, costeo definitivo al cierre, y recostificación automática cuando cambia cualquier componente del costo.</w:t>
      </w:r>
    </w:p>
    <w:p>
      <w:pPr>
        <w:pStyle w:val="Normal"/>
        <w:spacing w:before="0" w:after="180"/>
        <w:rPr/>
      </w:pPr>
      <w:r>
        <w:rPr/>
      </w:r>
    </w:p>
    <w:tbl>
      <w:tblPr>
        <w:tblW w:w="9026" w:type="dxa"/>
        <w:jc w:val="left"/>
        <w:tblInd w:w="0" w:type="dxa"/>
        <w:tblLayout w:type="fixed"/>
        <w:tblCellMar>
          <w:top w:w="200" w:type="dxa"/>
          <w:left w:w="280" w:type="dxa"/>
          <w:bottom w:w="200" w:type="dxa"/>
          <w:right w:w="280" w:type="dxa"/>
        </w:tblCellMar>
        <w:tblLook w:val="0000" w:noHBand="0" w:noVBand="0" w:firstColumn="0" w:lastRow="0" w:lastColumn="0" w:firstRow="0"/>
      </w:tblPr>
      <w:tblGrid>
        <w:gridCol w:w="9026"/>
      </w:tblGrid>
      <w:tr>
        <w:trPr/>
        <w:tc>
          <w:tcPr>
            <w:tcW w:w="9026" w:type="dxa"/>
            <w:tcBorders>
              <w:top w:val="single" w:sz="12" w:space="0" w:color="B8892A"/>
              <w:left w:val="single" w:sz="24" w:space="0" w:color="B8892A"/>
              <w:bottom w:val="single" w:sz="4" w:space="0" w:color="CFCABE"/>
              <w:right w:val="single" w:sz="4" w:space="0" w:color="CFCABE"/>
            </w:tcBorders>
            <w:shd w:color="auto" w:fill="F7F2E8" w:val="clear"/>
          </w:tcPr>
          <w:p>
            <w:pPr>
              <w:pStyle w:val="Normal"/>
              <w:spacing w:before="0" w:after="80"/>
              <w:rPr/>
            </w:pPr>
            <w:r>
              <w:rPr>
                <w:b/>
                <w:bCs/>
                <w:color w:val="B8892A"/>
                <w:spacing w:val="30"/>
                <w:sz w:val="18"/>
                <w:szCs w:val="18"/>
              </w:rPr>
              <w:t>DECISIONES CLAVE QUE RESUELVE ESTE MÓDULO</w:t>
            </w:r>
          </w:p>
          <w:p>
            <w:pPr>
              <w:pStyle w:val="Normal"/>
              <w:rPr/>
            </w:pPr>
            <w:r>
              <w:rPr>
                <w:color w:val="0B1F3A"/>
              </w:rPr>
              <w:t>1) Qué precio de lista debe tener cada unidad para respetar el margen objetivo. 2) Qué gastos se cargan al cliente en la transferencia (autos). 3) Dónde se concentra el costo oculto del despacho. 4) Qué embarque fue rentable y cuál no, a nivel unitario.</w:t>
            </w:r>
          </w:p>
        </w:tc>
      </w:tr>
    </w:tbl>
    <w:p>
      <w:pPr>
        <w:pStyle w:val="Heading1"/>
        <w:rPr/>
      </w:pPr>
      <w:r>
        <w:br w:type="page"/>
      </w:r>
      <w:r>
        <w:rPr/>
        <w:t>2. Contexto de negocio</w:t>
      </w:r>
    </w:p>
    <w:p>
      <w:pPr>
        <w:pStyle w:val="Heading2"/>
        <w:rPr/>
      </w:pPr>
      <w:r>
        <w:rPr/>
        <w:t>2.1 Perfil A — Importadora de autos Korea / Japón</w:t>
      </w:r>
    </w:p>
    <w:p>
      <w:pPr>
        <w:pStyle w:val="Normal"/>
        <w:spacing w:before="0" w:after="120"/>
        <w:jc w:val="both"/>
        <w:rPr/>
      </w:pPr>
      <w:r>
        <w:rPr/>
        <w:t>Empresa que trae vehículos usados mayoritariamente desde Busan (Corea del Sur) y Yokohama / Nagoya (Japón). Opera bajo tres modalidades: stock propio, pedido con seña y contra-pedido sin stock. El embarque es marítimo, en buques RoRo (rodado) o en contenedores 40' HQ cuando son vehículos premium o motocicletas. Cada unidad tiene chasis único, y el costeo es unidad-a-unidad: todo costo directo del vehículo (subasta, inland Corea/Japón, flete per unit) se imputa al chasis; todo costo compartido del embarque (despacho, gestoría, impuestos no unitarios) se prorratea por valor CIF o por unidad.</w:t>
      </w:r>
    </w:p>
    <w:p>
      <w:pPr>
        <w:pStyle w:val="Normal"/>
        <w:spacing w:before="0" w:after="120"/>
        <w:jc w:val="both"/>
        <w:rPr/>
      </w:pPr>
      <w:r>
        <w:rPr/>
        <w:t>Al llegar a Paraguay se inscribe en el Registro del Automotor y Créditos Prendarios (RACPR). La transferencia al cliente final se formaliza vía escribanía pública. Cada importadora trabaja habitualmente con 3 a 6 escribanías con tarifarios distintos; el cliente puede elegir entre las opciones del tarifario o proponer la propia. Los honorarios de escribanía se trasladan al cliente y no forman parte del costeo del vehículo, pero se registran en el sistema para cuadrar la caja y medir qué escribanía concentra la operación.</w:t>
      </w:r>
    </w:p>
    <w:p>
      <w:pPr>
        <w:pStyle w:val="Heading2"/>
        <w:rPr/>
      </w:pPr>
      <w:r>
        <w:rPr/>
        <w:t>2.2 Perfil B — Importadora de consumo masivo desde China</w:t>
      </w:r>
    </w:p>
    <w:p>
      <w:pPr>
        <w:pStyle w:val="Normal"/>
        <w:spacing w:before="0" w:after="120"/>
        <w:jc w:val="both"/>
        <w:rPr/>
      </w:pPr>
      <w:r>
        <w:rPr/>
        <w:t>Empresa que trae contenedores completos (FCL 20', 40' y 40' HQ) desde Shanghai, Ningbo, Guangzhou o Shenzhen con productos de consumo masivo: bazar, juguetería, electrónica de entrada, textil, hogar, plásticos. El embarque contiene decenas a cientos de SKUs. El costeo es por lote importado con prorrateo automático del flete, seguro, despacho y gastos varios al costo unitario de cada SKU, usando como criterio el valor FOB, el peso o el volumen (CBM), según definición por concepto de costo.</w:t>
      </w:r>
    </w:p>
    <w:p>
      <w:pPr>
        <w:pStyle w:val="Normal"/>
        <w:spacing w:before="0" w:after="120"/>
        <w:jc w:val="both"/>
        <w:rPr/>
      </w:pPr>
      <w:r>
        <w:rPr/>
        <w:t>No hay figura de escribanía. La complejidad está en tres puntos: (i) mapeo masivo de SKUs del proveedor chino a SKUs internos de novasis, (ii) cálculo correcto del ISC y del arancel por posición arancelaria (NCM), y (iii) tratamiento del diferimiento del IVA importación cuando la empresa opera bajo régimen simplificado.</w:t>
      </w:r>
    </w:p>
    <w:p>
      <w:pPr>
        <w:pStyle w:val="Heading3"/>
        <w:rPr/>
      </w:pPr>
      <w:r>
        <w:rPr/>
        <w:t>2.3 Lo que estos dos perfiles comparten</w:t>
      </w:r>
    </w:p>
    <w:p>
      <w:pPr>
        <w:pStyle w:val="ListParagraph"/>
        <w:numPr>
          <w:ilvl w:val="0"/>
          <w:numId w:val="4"/>
        </w:numPr>
        <w:spacing w:before="0" w:after="60"/>
        <w:rPr/>
      </w:pPr>
      <w:r>
        <w:rPr/>
        <w:t>Necesitan costeo unitario en Gs. sobre una base de gastos en USD.</w:t>
      </w:r>
    </w:p>
    <w:p>
      <w:pPr>
        <w:pStyle w:val="ListParagraph"/>
        <w:numPr>
          <w:ilvl w:val="0"/>
          <w:numId w:val="1"/>
        </w:numPr>
        <w:spacing w:before="0" w:after="60"/>
        <w:rPr/>
      </w:pPr>
      <w:r>
        <w:rPr/>
        <w:t>Dependen de un despachante aduanero; el costo del despacho es un componente central.</w:t>
      </w:r>
    </w:p>
    <w:p>
      <w:pPr>
        <w:pStyle w:val="ListParagraph"/>
        <w:numPr>
          <w:ilvl w:val="0"/>
          <w:numId w:val="1"/>
        </w:numPr>
        <w:spacing w:before="0" w:after="60"/>
        <w:rPr/>
      </w:pPr>
      <w:r>
        <w:rPr/>
        <w:t>Incurren en gastos de gestión difíciles de trazar (dádivas informales para acelerar trámites), que hoy se pagan de caja chica y no entran al costo del producto.</w:t>
      </w:r>
    </w:p>
    <w:p>
      <w:pPr>
        <w:pStyle w:val="ListParagraph"/>
        <w:numPr>
          <w:ilvl w:val="0"/>
          <w:numId w:val="1"/>
        </w:numPr>
        <w:spacing w:before="0" w:after="60"/>
        <w:rPr/>
      </w:pPr>
      <w:r>
        <w:rPr/>
        <w:t>Manejan tipos de cambio distintos según el momento del pago (seña, embarque, despacho, liberación).</w:t>
      </w:r>
    </w:p>
    <w:p>
      <w:pPr>
        <w:pStyle w:val="ListParagraph"/>
        <w:numPr>
          <w:ilvl w:val="0"/>
          <w:numId w:val="1"/>
        </w:numPr>
        <w:spacing w:before="0" w:after="60"/>
        <w:rPr/>
      </w:pPr>
      <w:r>
        <w:rPr/>
        <w:t>Necesitan reimprimir el costo unitario cuando se liquida un gasto tardío (una factura del transportista que llega semanas después).</w:t>
      </w:r>
    </w:p>
    <w:p>
      <w:pPr>
        <w:pStyle w:val="Heading3"/>
        <w:rPr/>
      </w:pPr>
      <w:r>
        <w:rPr/>
        <w:t>2.4 Lo que los diferencia</w:t>
      </w:r>
    </w:p>
    <w:p>
      <w:pPr>
        <w:pStyle w:val="ListParagraph"/>
        <w:numPr>
          <w:ilvl w:val="0"/>
          <w:numId w:val="1"/>
        </w:numPr>
        <w:spacing w:before="0" w:after="60"/>
        <w:rPr/>
      </w:pPr>
      <w:r>
        <w:rPr/>
        <w:t>Autos: costeo chasis-a-chasis. Consumo masivo: costeo por SKU con prorrateo del embarque.</w:t>
      </w:r>
    </w:p>
    <w:p>
      <w:pPr>
        <w:pStyle w:val="ListParagraph"/>
        <w:numPr>
          <w:ilvl w:val="0"/>
          <w:numId w:val="1"/>
        </w:numPr>
        <w:spacing w:before="0" w:after="60"/>
        <w:rPr/>
      </w:pPr>
      <w:r>
        <w:rPr/>
        <w:t>Autos: escribanías, transferencia, patentamiento, chapa. Consumo masivo: no aplica.</w:t>
      </w:r>
    </w:p>
    <w:p>
      <w:pPr>
        <w:pStyle w:val="ListParagraph"/>
        <w:numPr>
          <w:ilvl w:val="0"/>
          <w:numId w:val="1"/>
        </w:numPr>
        <w:spacing w:before="0" w:after="60"/>
        <w:rPr/>
      </w:pPr>
      <w:r>
        <w:rPr/>
        <w:t>Autos: FOB individual (subasta). Consumo masivo: FOB de factura comercial agrupada.</w:t>
      </w:r>
    </w:p>
    <w:p>
      <w:pPr>
        <w:pStyle w:val="ListParagraph"/>
        <w:numPr>
          <w:ilvl w:val="0"/>
          <w:numId w:val="1"/>
        </w:numPr>
        <w:spacing w:before="0" w:after="60"/>
        <w:rPr/>
      </w:pPr>
      <w:r>
        <w:rPr/>
        <w:t>Autos: ISC según cilindrada y año. Consumo masivo: arancel e ISC según NCM.</w:t>
      </w:r>
    </w:p>
    <w:p>
      <w:pPr>
        <w:pStyle w:val="ListParagraph"/>
        <w:numPr>
          <w:ilvl w:val="0"/>
          <w:numId w:val="1"/>
        </w:numPr>
        <w:spacing w:before="0" w:after="60"/>
        <w:rPr/>
      </w:pPr>
      <w:r>
        <w:rPr/>
        <w:t>Autos: se vende una unidad, facturación 1:1. Consumo masivo: se vende al mayor, distribución, múltiples facturas por lote.</w:t>
      </w:r>
      <w:r>
        <w:br w:type="page"/>
      </w:r>
    </w:p>
    <w:p>
      <w:pPr>
        <w:pStyle w:val="Heading1"/>
        <w:rPr/>
      </w:pPr>
      <w:r>
        <w:rPr/>
        <w:t>3. Problema y objetivos</w:t>
      </w:r>
    </w:p>
    <w:p>
      <w:pPr>
        <w:pStyle w:val="Heading2"/>
        <w:rPr/>
      </w:pPr>
      <w:r>
        <w:rPr/>
        <w:t>3.1 Problema actual (estado sin el módulo)</w:t>
      </w:r>
    </w:p>
    <w:p>
      <w:pPr>
        <w:pStyle w:val="Normal"/>
        <w:spacing w:before="0" w:after="120"/>
        <w:jc w:val="both"/>
        <w:rPr/>
      </w:pPr>
      <w:r>
        <w:rPr/>
        <w:t>Las importadoras PyME de Paraguay gestionan el costeo en planillas de Excel paralelas al ERP. El resultado es un costo unitario estimado, desactualizado y no trazable frente a la contabilidad. Cuando el despachante envía una factura tardía o cuando el tipo de cambio se mueve antes de la liberación, la planilla queda inconsistente y el margen real del embarque queda oculto hasta que el contador cierra el mes. Este gap empuja a los dueños a fijar precios "al ojo" y perder margen, o a demorar la salida al mercado por falta de información.</w:t>
      </w:r>
    </w:p>
    <w:p>
      <w:pPr>
        <w:pStyle w:val="Heading2"/>
        <w:rPr/>
      </w:pPr>
      <w:r>
        <w:rPr/>
        <w:t>3.2 Objetivos del módulo</w:t>
      </w:r>
    </w:p>
    <w:p>
      <w:pPr>
        <w:pStyle w:val="ListParagraph"/>
        <w:numPr>
          <w:ilvl w:val="0"/>
          <w:numId w:val="5"/>
        </w:numPr>
        <w:spacing w:before="0" w:after="60"/>
        <w:rPr/>
      </w:pPr>
      <w:r>
        <w:rPr/>
        <w:t>Producir un costo unitario en Gs. trazable hasta la línea de gasto que lo originó, disponible desde el momento en que se cierra el despacho aduanero.</w:t>
      </w:r>
    </w:p>
    <w:p>
      <w:pPr>
        <w:pStyle w:val="ListParagraph"/>
        <w:numPr>
          <w:ilvl w:val="0"/>
          <w:numId w:val="2"/>
        </w:numPr>
        <w:spacing w:before="0" w:after="60"/>
        <w:rPr/>
      </w:pPr>
      <w:r>
        <w:rPr/>
        <w:t>Reducir a minutos el cierre de un embarque que hoy toma días en Excel: distribución automática de gastos compartidos, recálculo al cambiar cualquier componente, y sincronización con el libro IVA y la contabilidad.</w:t>
      </w:r>
    </w:p>
    <w:p>
      <w:pPr>
        <w:pStyle w:val="ListParagraph"/>
        <w:numPr>
          <w:ilvl w:val="0"/>
          <w:numId w:val="2"/>
        </w:numPr>
        <w:spacing w:before="0" w:after="60"/>
        <w:rPr/>
      </w:pPr>
      <w:r>
        <w:rPr/>
        <w:t>Unificar en una sola vista (i) el expediente del embarque, (ii) el despacho aduanero, (iii) los pagos, (iv) los ajustes de costo posteriores y (v) la ficha del vehículo o el lote con su costo final.</w:t>
      </w:r>
    </w:p>
    <w:p>
      <w:pPr>
        <w:pStyle w:val="ListParagraph"/>
        <w:numPr>
          <w:ilvl w:val="0"/>
          <w:numId w:val="2"/>
        </w:numPr>
        <w:spacing w:before="0" w:after="60"/>
        <w:rPr/>
      </w:pPr>
      <w:r>
        <w:rPr/>
        <w:t>Para autos: concentrar en un único panel las escribanías activas, sus tarifarios vigentes, y el estado de cada transferencia pendiente o concluida.</w:t>
      </w:r>
    </w:p>
    <w:p>
      <w:pPr>
        <w:pStyle w:val="ListParagraph"/>
        <w:numPr>
          <w:ilvl w:val="0"/>
          <w:numId w:val="2"/>
        </w:numPr>
        <w:spacing w:before="0" w:after="60"/>
        <w:rPr/>
      </w:pPr>
      <w:r>
        <w:rPr/>
        <w:t>Para consumo masivo: habilitar el import masivo de packing lists y facturas comerciales desde Excel/CSV, y el mapeo asistido de SKUs del proveedor a SKUs internos.</w:t>
      </w:r>
    </w:p>
    <w:p>
      <w:pPr>
        <w:pStyle w:val="Heading2"/>
        <w:rPr/>
      </w:pPr>
      <w:r>
        <w:rPr/>
        <w:t>3.3 No-objetivos (fuera de alcance v1)</w:t>
      </w:r>
    </w:p>
    <w:p>
      <w:pPr>
        <w:pStyle w:val="ListParagraph"/>
        <w:numPr>
          <w:ilvl w:val="0"/>
          <w:numId w:val="1"/>
        </w:numPr>
        <w:spacing w:before="0" w:after="60"/>
        <w:rPr/>
      </w:pPr>
      <w:r>
        <w:rPr/>
        <w:t>Gestión aduanera oficial (Sofia, MIC/DTA): el módulo no reemplaza el sistema del despachante, solo registra sus resultados.</w:t>
      </w:r>
    </w:p>
    <w:p>
      <w:pPr>
        <w:pStyle w:val="ListParagraph"/>
        <w:numPr>
          <w:ilvl w:val="0"/>
          <w:numId w:val="1"/>
        </w:numPr>
        <w:spacing w:before="0" w:after="60"/>
        <w:rPr/>
      </w:pPr>
      <w:r>
        <w:rPr/>
        <w:t>Integración directa con bancos de Corea, Japón o China: los pagos se registran manualmente o importando el extracto bancario paraguayo.</w:t>
      </w:r>
    </w:p>
    <w:p>
      <w:pPr>
        <w:pStyle w:val="ListParagraph"/>
        <w:numPr>
          <w:ilvl w:val="0"/>
          <w:numId w:val="1"/>
        </w:numPr>
        <w:spacing w:before="0" w:after="60"/>
        <w:rPr/>
      </w:pPr>
      <w:r>
        <w:rPr/>
        <w:t>Trazabilidad de contenedor en tiempo real (AIS marítimo): queda para una fase posterior, con integración a proveedores como Maersk Shipping API o MarineTraffic.</w:t>
      </w:r>
    </w:p>
    <w:p>
      <w:pPr>
        <w:pStyle w:val="ListParagraph"/>
        <w:numPr>
          <w:ilvl w:val="0"/>
          <w:numId w:val="1"/>
        </w:numPr>
        <w:spacing w:before="0" w:after="60"/>
        <w:rPr/>
      </w:pPr>
      <w:r>
        <w:rPr/>
        <w:t>Subastas de Japón / Korea en vivo: no se automatiza la puja. El módulo carga el resultado ya adjudicado.</w:t>
      </w:r>
    </w:p>
    <w:p>
      <w:pPr>
        <w:pStyle w:val="ListParagraph"/>
        <w:numPr>
          <w:ilvl w:val="0"/>
          <w:numId w:val="1"/>
        </w:numPr>
        <w:spacing w:before="0" w:after="60"/>
        <w:rPr/>
      </w:pPr>
      <w:r>
        <w:rPr/>
        <w:t>Firma digital de documentos con la escribanía: v1 solo registra honorarios y estado del trámite, no ejecuta la firma.</w:t>
      </w:r>
    </w:p>
    <w:p>
      <w:pPr>
        <w:pStyle w:val="ListParagraph"/>
        <w:numPr>
          <w:ilvl w:val="0"/>
          <w:numId w:val="1"/>
        </w:numPr>
        <w:spacing w:before="0" w:after="60"/>
        <w:rPr/>
      </w:pPr>
      <w:r>
        <w:rPr/>
        <w:t>E-commerce de vehículos usados al consumidor final: existe la entidad vehículo, no la tienda online.</w:t>
      </w:r>
      <w:r>
        <w:br w:type="page"/>
      </w:r>
    </w:p>
    <w:p>
      <w:pPr>
        <w:pStyle w:val="Heading1"/>
        <w:rPr/>
      </w:pPr>
      <w:r>
        <w:rPr/>
        <w:t>4. Personas y user stories</w:t>
      </w:r>
    </w:p>
    <w:p>
      <w:pPr>
        <w:pStyle w:val="Heading2"/>
        <w:rPr/>
      </w:pPr>
      <w:r>
        <w:rPr/>
        <w:t>4.1 Personas</w:t>
      </w:r>
    </w:p>
    <w:tbl>
      <w:tblPr>
        <w:tblW w:w="9026" w:type="dxa"/>
        <w:jc w:val="left"/>
        <w:tblInd w:w="0" w:type="dxa"/>
        <w:tblLayout w:type="fixed"/>
        <w:tblCellMar>
          <w:top w:w="100" w:type="dxa"/>
          <w:left w:w="140" w:type="dxa"/>
          <w:bottom w:w="100" w:type="dxa"/>
          <w:right w:w="140" w:type="dxa"/>
        </w:tblCellMar>
        <w:tblLook w:val="0000" w:noHBand="0" w:noVBand="0" w:firstColumn="0" w:lastRow="0" w:lastColumn="0" w:firstRow="0"/>
      </w:tblPr>
      <w:tblGrid>
        <w:gridCol w:w="2199"/>
        <w:gridCol w:w="2400"/>
        <w:gridCol w:w="4427"/>
      </w:tblGrid>
      <w:tr>
        <w:trPr>
          <w:tblHeader w:val="true"/>
        </w:trPr>
        <w:tc>
          <w:tcPr>
            <w:tcW w:w="2199"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Persona</w:t>
            </w:r>
          </w:p>
        </w:tc>
        <w:tc>
          <w:tcPr>
            <w:tcW w:w="2400"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Rol</w:t>
            </w:r>
          </w:p>
        </w:tc>
        <w:tc>
          <w:tcPr>
            <w:tcW w:w="4427"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Objetivo principal</w:t>
            </w:r>
          </w:p>
        </w:tc>
      </w:tr>
      <w:tr>
        <w:trPr/>
        <w:tc>
          <w:tcPr>
            <w:tcW w:w="21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Andrés — Dueño importadora autos</w:t>
            </w:r>
          </w:p>
        </w:tc>
        <w:tc>
          <w:tcPr>
            <w:tcW w:w="24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Decisión comercial</w:t>
            </w:r>
          </w:p>
        </w:tc>
        <w:tc>
          <w:tcPr>
            <w:tcW w:w="4427"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Saber el costo real de cada chasis antes de fijar el precio de venta.</w:t>
            </w:r>
          </w:p>
        </w:tc>
      </w:tr>
      <w:tr>
        <w:trPr/>
        <w:tc>
          <w:tcPr>
            <w:tcW w:w="21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María — Administración</w:t>
            </w:r>
          </w:p>
        </w:tc>
        <w:tc>
          <w:tcPr>
            <w:tcW w:w="24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Back office</w:t>
            </w:r>
          </w:p>
        </w:tc>
        <w:tc>
          <w:tcPr>
            <w:tcW w:w="4427"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Cargar facturas, cerrar el despacho, emitir la factura de venta y la orden para escribanía.</w:t>
            </w:r>
          </w:p>
        </w:tc>
      </w:tr>
      <w:tr>
        <w:trPr/>
        <w:tc>
          <w:tcPr>
            <w:tcW w:w="21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Luis — Despachante</w:t>
            </w:r>
          </w:p>
        </w:tc>
        <w:tc>
          <w:tcPr>
            <w:tcW w:w="24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Externo</w:t>
            </w:r>
          </w:p>
        </w:tc>
        <w:tc>
          <w:tcPr>
            <w:tcW w:w="4427"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Informar al ERP los datos del despacho aduanero (número, liquidación, fecha).</w:t>
            </w:r>
          </w:p>
        </w:tc>
      </w:tr>
      <w:tr>
        <w:trPr/>
        <w:tc>
          <w:tcPr>
            <w:tcW w:w="21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Clara — Contadora</w:t>
            </w:r>
          </w:p>
        </w:tc>
        <w:tc>
          <w:tcPr>
            <w:tcW w:w="24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Contable</w:t>
            </w:r>
          </w:p>
        </w:tc>
        <w:tc>
          <w:tcPr>
            <w:tcW w:w="4427"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Que el costeo impacte automáticamente el libro IVA Compras y la contabilidad.</w:t>
            </w:r>
          </w:p>
        </w:tc>
      </w:tr>
      <w:tr>
        <w:trPr/>
        <w:tc>
          <w:tcPr>
            <w:tcW w:w="21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Joaquín — Escribano</w:t>
            </w:r>
          </w:p>
        </w:tc>
        <w:tc>
          <w:tcPr>
            <w:tcW w:w="24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Externo (solo autos)</w:t>
            </w:r>
          </w:p>
        </w:tc>
        <w:tc>
          <w:tcPr>
            <w:tcW w:w="4427"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Recibir del ERP los datos del vehículo y del cliente para formalizar la transferencia.</w:t>
            </w:r>
          </w:p>
        </w:tc>
      </w:tr>
      <w:tr>
        <w:trPr/>
        <w:tc>
          <w:tcPr>
            <w:tcW w:w="21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Paola — Compras China</w:t>
            </w:r>
          </w:p>
        </w:tc>
        <w:tc>
          <w:tcPr>
            <w:tcW w:w="24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Operativo (consumo masivo)</w:t>
            </w:r>
          </w:p>
        </w:tc>
        <w:tc>
          <w:tcPr>
            <w:tcW w:w="4427"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Cargar packing list de 300 SKUs y que el sistema mapee contra su maestro interno.</w:t>
            </w:r>
          </w:p>
        </w:tc>
      </w:tr>
    </w:tbl>
    <w:p>
      <w:pPr>
        <w:pStyle w:val="Normal"/>
        <w:spacing w:before="0" w:after="200"/>
        <w:rPr/>
      </w:pPr>
      <w:r>
        <w:rPr/>
      </w:r>
    </w:p>
    <w:p>
      <w:pPr>
        <w:pStyle w:val="Heading2"/>
        <w:rPr/>
      </w:pPr>
      <w:r>
        <w:rPr/>
        <w:t>4.2 User stories — Perfil A (autos Korea/Japón)</w:t>
      </w:r>
    </w:p>
    <w:p>
      <w:pPr>
        <w:pStyle w:val="ListParagraph"/>
        <w:numPr>
          <w:ilvl w:val="0"/>
          <w:numId w:val="1"/>
        </w:numPr>
        <w:spacing w:before="0" w:after="60"/>
        <w:rPr/>
      </w:pPr>
      <w:r>
        <w:rPr/>
        <w:t>Como Andrés, quiero ver el costo unitario actualizado de un chasis a medida que se cargan gastos, para fijar el precio de venta con margen defendible.</w:t>
      </w:r>
    </w:p>
    <w:p>
      <w:pPr>
        <w:pStyle w:val="ListParagraph"/>
        <w:numPr>
          <w:ilvl w:val="0"/>
          <w:numId w:val="1"/>
        </w:numPr>
        <w:spacing w:before="0" w:after="60"/>
        <w:rPr/>
      </w:pPr>
      <w:r>
        <w:rPr/>
        <w:t>Como María, quiero registrar una subasta en Corea con su número de lote, para que al llegar el vehículo quede vinculado sin retipear datos.</w:t>
      </w:r>
    </w:p>
    <w:p>
      <w:pPr>
        <w:pStyle w:val="ListParagraph"/>
        <w:numPr>
          <w:ilvl w:val="0"/>
          <w:numId w:val="1"/>
        </w:numPr>
        <w:spacing w:before="0" w:after="60"/>
        <w:rPr/>
      </w:pPr>
      <w:r>
        <w:rPr/>
        <w:t>Como María, quiero cargar la factura del despachante y que el gasto se prorratee automáticamente entre los vehículos del mismo embarque, para cerrar el costeo sin hacer cuentas.</w:t>
      </w:r>
    </w:p>
    <w:p>
      <w:pPr>
        <w:pStyle w:val="ListParagraph"/>
        <w:numPr>
          <w:ilvl w:val="0"/>
          <w:numId w:val="1"/>
        </w:numPr>
        <w:spacing w:before="0" w:after="60"/>
        <w:rPr/>
      </w:pPr>
      <w:r>
        <w:rPr/>
        <w:t>Como Andrés, quiero ver, por embarque, cuánto se gastó en "gestión y trámites extras" como línea separada, para saber si un embarque fue excepcionalmente costoso.</w:t>
      </w:r>
    </w:p>
    <w:p>
      <w:pPr>
        <w:pStyle w:val="ListParagraph"/>
        <w:numPr>
          <w:ilvl w:val="0"/>
          <w:numId w:val="1"/>
        </w:numPr>
        <w:spacing w:before="0" w:after="60"/>
        <w:rPr/>
      </w:pPr>
      <w:r>
        <w:rPr/>
        <w:t>Como Joaquín, quiero recibir una orden de trabajo con los datos exactos del vehículo y del comprador, para no pedir papeles dos veces.</w:t>
      </w:r>
    </w:p>
    <w:p>
      <w:pPr>
        <w:pStyle w:val="ListParagraph"/>
        <w:numPr>
          <w:ilvl w:val="0"/>
          <w:numId w:val="1"/>
        </w:numPr>
        <w:spacing w:before="0" w:after="60"/>
        <w:rPr/>
      </w:pPr>
      <w:r>
        <w:rPr/>
        <w:t>Como Andrés, quiero un reporte de qué escribanía me facturó más transferencias este trimestre, para negociar mejor tarifario.</w:t>
      </w:r>
    </w:p>
    <w:p>
      <w:pPr>
        <w:pStyle w:val="Normal"/>
        <w:spacing w:before="0" w:after="200"/>
        <w:rPr/>
      </w:pPr>
      <w:r>
        <w:rPr/>
      </w:r>
    </w:p>
    <w:p>
      <w:pPr>
        <w:pStyle w:val="Heading2"/>
        <w:rPr/>
      </w:pPr>
      <w:r>
        <w:rPr/>
        <w:t>4.3 User stories — Perfil B (consumo masivo China)</w:t>
      </w:r>
    </w:p>
    <w:p>
      <w:pPr>
        <w:pStyle w:val="ListParagraph"/>
        <w:numPr>
          <w:ilvl w:val="0"/>
          <w:numId w:val="1"/>
        </w:numPr>
        <w:spacing w:before="0" w:after="60"/>
        <w:rPr/>
      </w:pPr>
      <w:r>
        <w:rPr/>
        <w:t>Como Paola, quiero subir un archivo Excel del proveedor con 300 líneas y que el sistema sugiera el mapeo a mi maestro de productos, para no cargar SKU por SKU.</w:t>
      </w:r>
    </w:p>
    <w:p>
      <w:pPr>
        <w:pStyle w:val="ListParagraph"/>
        <w:numPr>
          <w:ilvl w:val="0"/>
          <w:numId w:val="1"/>
        </w:numPr>
        <w:spacing w:before="0" w:after="60"/>
        <w:rPr/>
      </w:pPr>
      <w:r>
        <w:rPr/>
        <w:t>Como Andrés (dueño consumo masivo), quiero elegir si el flete se prorratea por valor FOB o por CBM, para que el costeo refleje la naturaleza real del producto.</w:t>
      </w:r>
    </w:p>
    <w:p>
      <w:pPr>
        <w:pStyle w:val="ListParagraph"/>
        <w:numPr>
          <w:ilvl w:val="0"/>
          <w:numId w:val="1"/>
        </w:numPr>
        <w:spacing w:before="0" w:after="60"/>
        <w:rPr/>
      </w:pPr>
      <w:r>
        <w:rPr/>
        <w:t>Como Clara, quiero que al cerrar el despacho se generen los asientos de compras de importación y el IVA import al cambio correcto, para no hacerlo a mano.</w:t>
      </w:r>
    </w:p>
    <w:p>
      <w:pPr>
        <w:pStyle w:val="ListParagraph"/>
        <w:numPr>
          <w:ilvl w:val="0"/>
          <w:numId w:val="1"/>
        </w:numPr>
        <w:spacing w:before="0" w:after="60"/>
        <w:rPr/>
      </w:pPr>
      <w:r>
        <w:rPr/>
        <w:t>Como Paola, quiero que un gasto que llega tres semanas después del despacho dispare una recostificación y una alerta visible, para ajustar la lista de precios si corresponde.</w:t>
      </w:r>
      <w:r>
        <w:br w:type="page"/>
      </w:r>
    </w:p>
    <w:p>
      <w:pPr>
        <w:pStyle w:val="Heading1"/>
        <w:rPr/>
      </w:pPr>
      <w:r>
        <w:rPr/>
        <w:t>5. Alcance funcional</w:t>
      </w:r>
    </w:p>
    <w:p>
      <w:pPr>
        <w:pStyle w:val="Normal"/>
        <w:spacing w:before="0" w:after="120"/>
        <w:jc w:val="both"/>
        <w:rPr/>
      </w:pPr>
      <w:r>
        <w:rPr/>
        <w:t>El alcance se agrupa en siete bloques funcionales. Los bloques 1 a 5 son comunes a ambos perfiles; los bloques 6 (escribanías) y 7 (mapeo masivo de SKUs) son específicos por perfil.</w:t>
      </w:r>
    </w:p>
    <w:p>
      <w:pPr>
        <w:pStyle w:val="Heading2"/>
        <w:rPr/>
      </w:pPr>
      <w:r>
        <w:rPr/>
        <w:t>5.1 Bloque 1 — Expediente de embarque</w:t>
      </w:r>
    </w:p>
    <w:p>
      <w:pPr>
        <w:pStyle w:val="ListParagraph"/>
        <w:numPr>
          <w:ilvl w:val="0"/>
          <w:numId w:val="1"/>
        </w:numPr>
        <w:spacing w:before="0" w:after="60"/>
        <w:rPr/>
      </w:pPr>
      <w:r>
        <w:rPr/>
        <w:t>Cabecera con proveedor, origen, modalidad de embarque (RoRo, FCL 20', FCL 40', FCL 40HQ, LCL).</w:t>
      </w:r>
    </w:p>
    <w:p>
      <w:pPr>
        <w:pStyle w:val="ListParagraph"/>
        <w:numPr>
          <w:ilvl w:val="0"/>
          <w:numId w:val="1"/>
        </w:numPr>
        <w:spacing w:before="0" w:after="60"/>
        <w:rPr/>
      </w:pPr>
      <w:r>
        <w:rPr/>
        <w:t>Vinculación con bill of lading, factura comercial, packing list, póliza de seguro.</w:t>
      </w:r>
    </w:p>
    <w:p>
      <w:pPr>
        <w:pStyle w:val="ListParagraph"/>
        <w:numPr>
          <w:ilvl w:val="0"/>
          <w:numId w:val="1"/>
        </w:numPr>
        <w:spacing w:before="0" w:after="60"/>
        <w:rPr/>
      </w:pPr>
      <w:r>
        <w:rPr/>
        <w:t>Estados: Borrador → En tránsito → Arribado → En despacho → Despachado → Liberado → Cerrado.</w:t>
      </w:r>
    </w:p>
    <w:p>
      <w:pPr>
        <w:pStyle w:val="ListParagraph"/>
        <w:numPr>
          <w:ilvl w:val="0"/>
          <w:numId w:val="1"/>
        </w:numPr>
        <w:spacing w:before="0" w:after="60"/>
        <w:rPr/>
      </w:pPr>
      <w:r>
        <w:rPr/>
        <w:t>Bitácora con cada cambio de estado y usuario responsable.</w:t>
      </w:r>
    </w:p>
    <w:p>
      <w:pPr>
        <w:pStyle w:val="Heading2"/>
        <w:rPr/>
      </w:pPr>
      <w:r>
        <w:rPr/>
        <w:t>5.2 Bloque 2 — Ítems del embarque</w:t>
      </w:r>
    </w:p>
    <w:p>
      <w:pPr>
        <w:pStyle w:val="ListParagraph"/>
        <w:numPr>
          <w:ilvl w:val="0"/>
          <w:numId w:val="1"/>
        </w:numPr>
        <w:spacing w:before="0" w:after="60"/>
        <w:rPr/>
      </w:pPr>
      <w:r>
        <w:rPr/>
        <w:t>Perfil autos: ficha vehículo (chasis, motor, año, marca, modelo, versión, cilindrada, kilometraje, color, cantidad de dueños anteriores, subasta/lote origen, valoración en origen).</w:t>
      </w:r>
    </w:p>
    <w:p>
      <w:pPr>
        <w:pStyle w:val="ListParagraph"/>
        <w:numPr>
          <w:ilvl w:val="0"/>
          <w:numId w:val="1"/>
        </w:numPr>
        <w:spacing w:before="0" w:after="60"/>
        <w:rPr/>
      </w:pPr>
      <w:r>
        <w:rPr/>
        <w:t>Perfil consumo masivo: líneas SKU con cantidad, peso unitario, CBM unitario, FOB unitario, NCM sugerido.</w:t>
      </w:r>
    </w:p>
    <w:p>
      <w:pPr>
        <w:pStyle w:val="ListParagraph"/>
        <w:numPr>
          <w:ilvl w:val="0"/>
          <w:numId w:val="1"/>
        </w:numPr>
        <w:spacing w:before="0" w:after="60"/>
        <w:rPr/>
      </w:pPr>
      <w:r>
        <w:rPr/>
        <w:t>Importación masiva desde Excel/CSV con plantilla estándar descargable.</w:t>
      </w:r>
    </w:p>
    <w:p>
      <w:pPr>
        <w:pStyle w:val="ListParagraph"/>
        <w:numPr>
          <w:ilvl w:val="0"/>
          <w:numId w:val="1"/>
        </w:numPr>
        <w:spacing w:before="0" w:after="60"/>
        <w:rPr/>
      </w:pPr>
      <w:r>
        <w:rPr/>
        <w:t>Mapeo asistido SKU proveedor → SKU interno con memoria de mapeos previos (fuzzy match por descripción + código).</w:t>
      </w:r>
    </w:p>
    <w:p>
      <w:pPr>
        <w:pStyle w:val="Heading2"/>
        <w:rPr/>
      </w:pPr>
      <w:r>
        <w:rPr/>
        <w:t>5.3 Bloque 3 — Componentes de costo</w:t>
      </w:r>
    </w:p>
    <w:p>
      <w:pPr>
        <w:pStyle w:val="Normal"/>
        <w:spacing w:before="0" w:after="120"/>
        <w:jc w:val="both"/>
        <w:rPr/>
      </w:pPr>
      <w:r>
        <w:rPr/>
        <w:t>Sección central del módulo. Cada componente tiene: tipo, moneda, importe, criterio de imputación (directo al ítem o a todo el embarque), y criterio de prorrateo (por valor FOB, por peso, por volumen, por cantidad). La tabla completa de componentes está en el capítulo 7.</w:t>
      </w:r>
    </w:p>
    <w:p>
      <w:pPr>
        <w:pStyle w:val="Heading2"/>
        <w:rPr/>
      </w:pPr>
      <w:r>
        <w:rPr/>
        <w:t>5.4 Bloque 4 — Despacho aduanero</w:t>
      </w:r>
    </w:p>
    <w:p>
      <w:pPr>
        <w:pStyle w:val="ListParagraph"/>
        <w:numPr>
          <w:ilvl w:val="0"/>
          <w:numId w:val="1"/>
        </w:numPr>
        <w:spacing w:before="0" w:after="60"/>
        <w:rPr/>
      </w:pPr>
      <w:r>
        <w:rPr/>
        <w:t>Número de despacho, fecha, despachante, liquidación completa.</w:t>
      </w:r>
    </w:p>
    <w:p>
      <w:pPr>
        <w:pStyle w:val="ListParagraph"/>
        <w:numPr>
          <w:ilvl w:val="0"/>
          <w:numId w:val="1"/>
        </w:numPr>
        <w:spacing w:before="0" w:after="60"/>
        <w:rPr/>
      </w:pPr>
      <w:r>
        <w:rPr/>
        <w:t>Desglose impositivo: arancel, IVA importación, ISC, INC, anticipo IRE, tasa ANA.</w:t>
      </w:r>
    </w:p>
    <w:p>
      <w:pPr>
        <w:pStyle w:val="ListParagraph"/>
        <w:numPr>
          <w:ilvl w:val="0"/>
          <w:numId w:val="1"/>
        </w:numPr>
        <w:spacing w:before="0" w:after="60"/>
        <w:rPr/>
      </w:pPr>
      <w:r>
        <w:rPr/>
        <w:t>Soporte para despachos parciales (más de un despacho para el mismo bill of lading).</w:t>
      </w:r>
    </w:p>
    <w:p>
      <w:pPr>
        <w:pStyle w:val="ListParagraph"/>
        <w:numPr>
          <w:ilvl w:val="0"/>
          <w:numId w:val="1"/>
        </w:numPr>
        <w:spacing w:before="0" w:after="60"/>
        <w:rPr/>
      </w:pPr>
      <w:r>
        <w:rPr/>
        <w:t>Cierre formal del despacho como evento que habilita la recostificación.</w:t>
      </w:r>
    </w:p>
    <w:p>
      <w:pPr>
        <w:pStyle w:val="Heading2"/>
        <w:rPr/>
      </w:pPr>
      <w:r>
        <w:rPr/>
        <w:t>5.5 Bloque 5 — Costeo y cierre</w:t>
      </w:r>
    </w:p>
    <w:p>
      <w:pPr>
        <w:pStyle w:val="ListParagraph"/>
        <w:numPr>
          <w:ilvl w:val="0"/>
          <w:numId w:val="1"/>
        </w:numPr>
        <w:spacing w:before="0" w:after="60"/>
        <w:rPr/>
      </w:pPr>
      <w:r>
        <w:rPr/>
        <w:t>Costo unitario en Gs. para cada ítem tras cierre del despacho.</w:t>
      </w:r>
    </w:p>
    <w:p>
      <w:pPr>
        <w:pStyle w:val="ListParagraph"/>
        <w:numPr>
          <w:ilvl w:val="0"/>
          <w:numId w:val="1"/>
        </w:numPr>
        <w:spacing w:before="0" w:after="60"/>
        <w:rPr/>
      </w:pPr>
      <w:r>
        <w:rPr/>
        <w:t>Recostificación automática al ingresar gastos posteriores (rolling cost).</w:t>
      </w:r>
    </w:p>
    <w:p>
      <w:pPr>
        <w:pStyle w:val="ListParagraph"/>
        <w:numPr>
          <w:ilvl w:val="0"/>
          <w:numId w:val="1"/>
        </w:numPr>
        <w:spacing w:before="0" w:after="60"/>
        <w:rPr/>
      </w:pPr>
      <w:r>
        <w:rPr/>
        <w:t>Historial de recostificaciones con diferencial y motivo.</w:t>
      </w:r>
    </w:p>
    <w:p>
      <w:pPr>
        <w:pStyle w:val="ListParagraph"/>
        <w:numPr>
          <w:ilvl w:val="0"/>
          <w:numId w:val="1"/>
        </w:numPr>
        <w:spacing w:before="0" w:after="60"/>
        <w:rPr/>
      </w:pPr>
      <w:r>
        <w:rPr/>
        <w:t>Sellado del costo (lock) cuando se quiere congelar para liquidar comisiones o cerrar contabilidad.</w:t>
      </w:r>
    </w:p>
    <w:p>
      <w:pPr>
        <w:pStyle w:val="Heading2"/>
        <w:rPr/>
      </w:pPr>
      <w:r>
        <w:rPr/>
        <w:t>5.6 Bloque 6 — Escribanías y transferencias (solo autos)</w:t>
      </w:r>
    </w:p>
    <w:p>
      <w:pPr>
        <w:pStyle w:val="ListParagraph"/>
        <w:numPr>
          <w:ilvl w:val="0"/>
          <w:numId w:val="1"/>
        </w:numPr>
        <w:spacing w:before="0" w:after="60"/>
        <w:rPr/>
      </w:pPr>
      <w:r>
        <w:rPr/>
        <w:t>Maestro de escribanías con tarifario por tipo de trámite: transferencia, transferencia con prenda, 1ª inscripción, chapa, cédula verde.</w:t>
      </w:r>
    </w:p>
    <w:p>
      <w:pPr>
        <w:pStyle w:val="ListParagraph"/>
        <w:numPr>
          <w:ilvl w:val="0"/>
          <w:numId w:val="1"/>
        </w:numPr>
        <w:spacing w:before="0" w:after="60"/>
        <w:rPr/>
      </w:pPr>
      <w:r>
        <w:rPr/>
        <w:t>Asignación de escribanía a una venta o permitir elección del cliente.</w:t>
      </w:r>
    </w:p>
    <w:p>
      <w:pPr>
        <w:pStyle w:val="ListParagraph"/>
        <w:numPr>
          <w:ilvl w:val="0"/>
          <w:numId w:val="1"/>
        </w:numPr>
        <w:spacing w:before="0" w:after="60"/>
        <w:rPr/>
      </w:pPr>
      <w:r>
        <w:rPr/>
        <w:t>Generación de orden de trabajo con los datos del vehículo, del cedente y del adquirente.</w:t>
      </w:r>
    </w:p>
    <w:p>
      <w:pPr>
        <w:pStyle w:val="ListParagraph"/>
        <w:numPr>
          <w:ilvl w:val="0"/>
          <w:numId w:val="1"/>
        </w:numPr>
        <w:spacing w:before="0" w:after="60"/>
        <w:rPr/>
      </w:pPr>
      <w:r>
        <w:rPr/>
        <w:t>Registro de honorarios facturados por la escribanía al cliente (no al costo del vehículo).</w:t>
      </w:r>
    </w:p>
    <w:p>
      <w:pPr>
        <w:pStyle w:val="ListParagraph"/>
        <w:numPr>
          <w:ilvl w:val="0"/>
          <w:numId w:val="1"/>
        </w:numPr>
        <w:spacing w:before="0" w:after="60"/>
        <w:rPr/>
      </w:pPr>
      <w:r>
        <w:rPr/>
        <w:t>Dashboard de trámites: en curso, vencidos, completados, por escribanía.</w:t>
      </w:r>
    </w:p>
    <w:p>
      <w:pPr>
        <w:pStyle w:val="Heading2"/>
        <w:rPr/>
      </w:pPr>
      <w:r>
        <w:rPr/>
        <w:t>5.7 Bloque 7 — Integraciones</w:t>
      </w:r>
    </w:p>
    <w:p>
      <w:pPr>
        <w:pStyle w:val="ListParagraph"/>
        <w:numPr>
          <w:ilvl w:val="0"/>
          <w:numId w:val="1"/>
        </w:numPr>
        <w:spacing w:before="0" w:after="60"/>
        <w:rPr/>
      </w:pPr>
      <w:r>
        <w:rPr/>
        <w:t>Contabilidad: asiento de compra importación al cerrar el despacho (cuentas de mercadería en tránsito → inventario, IVA importación, pasivos con proveedor y despachante).</w:t>
      </w:r>
    </w:p>
    <w:p>
      <w:pPr>
        <w:pStyle w:val="ListParagraph"/>
        <w:numPr>
          <w:ilvl w:val="0"/>
          <w:numId w:val="1"/>
        </w:numPr>
        <w:spacing w:before="0" w:after="60"/>
        <w:rPr/>
      </w:pPr>
      <w:r>
        <w:rPr/>
        <w:t>Libros IVA: Libro IVA Compras alimentado por la liquidación del despacho y por facturas locales vinculadas al embarque.</w:t>
      </w:r>
    </w:p>
    <w:p>
      <w:pPr>
        <w:pStyle w:val="ListParagraph"/>
        <w:numPr>
          <w:ilvl w:val="0"/>
          <w:numId w:val="1"/>
        </w:numPr>
        <w:spacing w:before="0" w:after="60"/>
        <w:rPr/>
      </w:pPr>
      <w:r>
        <w:rPr/>
        <w:t>Inventario: alta de stock con costo calculado al momento del cierre.</w:t>
      </w:r>
    </w:p>
    <w:p>
      <w:pPr>
        <w:pStyle w:val="ListParagraph"/>
        <w:numPr>
          <w:ilvl w:val="0"/>
          <w:numId w:val="1"/>
        </w:numPr>
        <w:spacing w:before="0" w:after="60"/>
        <w:rPr/>
      </w:pPr>
      <w:r>
        <w:rPr/>
        <w:t>Tesorería: programación de pagos al proveedor extranjero, al despachante y a la escribanía.</w:t>
      </w:r>
    </w:p>
    <w:p>
      <w:pPr>
        <w:pStyle w:val="ListParagraph"/>
        <w:numPr>
          <w:ilvl w:val="0"/>
          <w:numId w:val="1"/>
        </w:numPr>
        <w:spacing w:before="0" w:after="60"/>
        <w:rPr/>
      </w:pPr>
      <w:r>
        <w:rPr/>
        <w:t>Hechauka: exportación del Libro Compras con los conceptos de importación en el formato que la SET espera.</w:t>
      </w:r>
      <w:r>
        <w:br w:type="page"/>
      </w:r>
    </w:p>
    <w:p>
      <w:pPr>
        <w:pStyle w:val="Heading1"/>
        <w:rPr/>
      </w:pPr>
      <w:r>
        <w:rPr/>
        <w:t>6. Modelo de datos — entidades principales</w:t>
      </w:r>
    </w:p>
    <w:p>
      <w:pPr>
        <w:pStyle w:val="Normal"/>
        <w:spacing w:before="0" w:after="120"/>
        <w:jc w:val="both"/>
        <w:rPr/>
      </w:pPr>
      <w:r>
        <w:rPr/>
        <w:t>Se listan las entidades núcleo y sus atributos clave. El detalle exhaustivo se mantiene en el repositorio del módulo.</w:t>
      </w:r>
    </w:p>
    <w:p>
      <w:pPr>
        <w:pStyle w:val="Heading2"/>
        <w:rPr/>
      </w:pPr>
      <w:r>
        <w:rPr/>
        <w:t>6.1 Embarque (shipment)</w:t>
      </w:r>
    </w:p>
    <w:tbl>
      <w:tblPr>
        <w:tblW w:w="9026" w:type="dxa"/>
        <w:jc w:val="left"/>
        <w:tblInd w:w="0" w:type="dxa"/>
        <w:tblLayout w:type="fixed"/>
        <w:tblCellMar>
          <w:top w:w="100" w:type="dxa"/>
          <w:left w:w="140" w:type="dxa"/>
          <w:bottom w:w="100" w:type="dxa"/>
          <w:right w:w="140" w:type="dxa"/>
        </w:tblCellMar>
        <w:tblLook w:val="0000" w:noHBand="0" w:noVBand="0" w:firstColumn="0" w:lastRow="0" w:lastColumn="0" w:firstRow="0"/>
      </w:tblPr>
      <w:tblGrid>
        <w:gridCol w:w="2600"/>
        <w:gridCol w:w="1499"/>
        <w:gridCol w:w="1401"/>
        <w:gridCol w:w="3525"/>
      </w:tblGrid>
      <w:tr>
        <w:trPr>
          <w:tblHeader w:val="true"/>
        </w:trPr>
        <w:tc>
          <w:tcPr>
            <w:tcW w:w="2600"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Campo</w:t>
            </w:r>
          </w:p>
        </w:tc>
        <w:tc>
          <w:tcPr>
            <w:tcW w:w="1499"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Tipo</w:t>
            </w:r>
          </w:p>
        </w:tc>
        <w:tc>
          <w:tcPr>
            <w:tcW w:w="1401"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Obligatorio</w:t>
            </w:r>
          </w:p>
        </w:tc>
        <w:tc>
          <w:tcPr>
            <w:tcW w:w="3525"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Notas</w:t>
            </w:r>
          </w:p>
        </w:tc>
      </w:tr>
      <w:tr>
        <w:trPr/>
        <w:tc>
          <w:tcPr>
            <w:tcW w:w="2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id_embarque</w:t>
            </w:r>
          </w:p>
        </w:tc>
        <w:tc>
          <w:tcPr>
            <w:tcW w:w="14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string</w:t>
            </w:r>
          </w:p>
        </w:tc>
        <w:tc>
          <w:tcPr>
            <w:tcW w:w="14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PK</w:t>
            </w:r>
          </w:p>
        </w:tc>
      </w:tr>
      <w:tr>
        <w:trPr/>
        <w:tc>
          <w:tcPr>
            <w:tcW w:w="2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proveedor_id</w:t>
            </w:r>
          </w:p>
        </w:tc>
        <w:tc>
          <w:tcPr>
            <w:tcW w:w="14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FK proveedor</w:t>
            </w:r>
          </w:p>
        </w:tc>
        <w:tc>
          <w:tcPr>
            <w:tcW w:w="14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Proveedor extranjero</w:t>
            </w:r>
          </w:p>
        </w:tc>
      </w:tr>
      <w:tr>
        <w:trPr/>
        <w:tc>
          <w:tcPr>
            <w:tcW w:w="2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origen_pais</w:t>
            </w:r>
          </w:p>
        </w:tc>
        <w:tc>
          <w:tcPr>
            <w:tcW w:w="14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enum</w:t>
            </w:r>
          </w:p>
        </w:tc>
        <w:tc>
          <w:tcPr>
            <w:tcW w:w="14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KR, JP, CN, Otro</w:t>
            </w:r>
          </w:p>
        </w:tc>
      </w:tr>
      <w:tr>
        <w:trPr/>
        <w:tc>
          <w:tcPr>
            <w:tcW w:w="2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origen_puerto</w:t>
            </w:r>
          </w:p>
        </w:tc>
        <w:tc>
          <w:tcPr>
            <w:tcW w:w="14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string</w:t>
            </w:r>
          </w:p>
        </w:tc>
        <w:tc>
          <w:tcPr>
            <w:tcW w:w="14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Busan, Yokohama, Shanghai, etc.</w:t>
            </w:r>
          </w:p>
        </w:tc>
      </w:tr>
      <w:tr>
        <w:trPr/>
        <w:tc>
          <w:tcPr>
            <w:tcW w:w="2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destino_puerto</w:t>
            </w:r>
          </w:p>
        </w:tc>
        <w:tc>
          <w:tcPr>
            <w:tcW w:w="14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enum</w:t>
            </w:r>
          </w:p>
        </w:tc>
        <w:tc>
          <w:tcPr>
            <w:tcW w:w="14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Villeta (PY), Asunción (PY), otro</w:t>
            </w:r>
          </w:p>
        </w:tc>
      </w:tr>
      <w:tr>
        <w:trPr/>
        <w:tc>
          <w:tcPr>
            <w:tcW w:w="2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modalidad</w:t>
            </w:r>
          </w:p>
        </w:tc>
        <w:tc>
          <w:tcPr>
            <w:tcW w:w="14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enum</w:t>
            </w:r>
          </w:p>
        </w:tc>
        <w:tc>
          <w:tcPr>
            <w:tcW w:w="14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RoRo, FCL20, FCL40, FCL40HQ, LCL</w:t>
            </w:r>
          </w:p>
        </w:tc>
      </w:tr>
      <w:tr>
        <w:trPr/>
        <w:tc>
          <w:tcPr>
            <w:tcW w:w="2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booking</w:t>
            </w:r>
          </w:p>
        </w:tc>
        <w:tc>
          <w:tcPr>
            <w:tcW w:w="14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string</w:t>
            </w:r>
          </w:p>
        </w:tc>
        <w:tc>
          <w:tcPr>
            <w:tcW w:w="14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No</w:t>
            </w:r>
          </w:p>
        </w:tc>
        <w:tc>
          <w:tcPr>
            <w:tcW w:w="35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Nº de booking naviero</w:t>
            </w:r>
          </w:p>
        </w:tc>
      </w:tr>
      <w:tr>
        <w:trPr/>
        <w:tc>
          <w:tcPr>
            <w:tcW w:w="2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bill_of_lading</w:t>
            </w:r>
          </w:p>
        </w:tc>
        <w:tc>
          <w:tcPr>
            <w:tcW w:w="14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string</w:t>
            </w:r>
          </w:p>
        </w:tc>
        <w:tc>
          <w:tcPr>
            <w:tcW w:w="14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Nº de BL</w:t>
            </w:r>
          </w:p>
        </w:tc>
      </w:tr>
      <w:tr>
        <w:trPr/>
        <w:tc>
          <w:tcPr>
            <w:tcW w:w="2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fecha_embarque</w:t>
            </w:r>
          </w:p>
        </w:tc>
        <w:tc>
          <w:tcPr>
            <w:tcW w:w="14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date</w:t>
            </w:r>
          </w:p>
        </w:tc>
        <w:tc>
          <w:tcPr>
            <w:tcW w:w="14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ETD origen</w:t>
            </w:r>
          </w:p>
        </w:tc>
      </w:tr>
      <w:tr>
        <w:trPr/>
        <w:tc>
          <w:tcPr>
            <w:tcW w:w="2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fecha_eta</w:t>
            </w:r>
          </w:p>
        </w:tc>
        <w:tc>
          <w:tcPr>
            <w:tcW w:w="14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date</w:t>
            </w:r>
          </w:p>
        </w:tc>
        <w:tc>
          <w:tcPr>
            <w:tcW w:w="14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No</w:t>
            </w:r>
          </w:p>
        </w:tc>
        <w:tc>
          <w:tcPr>
            <w:tcW w:w="352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ETA destino</w:t>
            </w:r>
          </w:p>
        </w:tc>
      </w:tr>
      <w:tr>
        <w:trPr/>
        <w:tc>
          <w:tcPr>
            <w:tcW w:w="2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fecha_arribo_real</w:t>
            </w:r>
          </w:p>
        </w:tc>
        <w:tc>
          <w:tcPr>
            <w:tcW w:w="14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date</w:t>
            </w:r>
          </w:p>
        </w:tc>
        <w:tc>
          <w:tcPr>
            <w:tcW w:w="14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No</w:t>
            </w:r>
          </w:p>
        </w:tc>
        <w:tc>
          <w:tcPr>
            <w:tcW w:w="35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Fecha real de arribo</w:t>
            </w:r>
          </w:p>
        </w:tc>
      </w:tr>
      <w:tr>
        <w:trPr/>
        <w:tc>
          <w:tcPr>
            <w:tcW w:w="2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moneda_origen</w:t>
            </w:r>
          </w:p>
        </w:tc>
        <w:tc>
          <w:tcPr>
            <w:tcW w:w="14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enum</w:t>
            </w:r>
          </w:p>
        </w:tc>
        <w:tc>
          <w:tcPr>
            <w:tcW w:w="14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USD (v1). Gs. no aplica en origen.</w:t>
            </w:r>
          </w:p>
        </w:tc>
      </w:tr>
      <w:tr>
        <w:trPr/>
        <w:tc>
          <w:tcPr>
            <w:tcW w:w="2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cotizacion_cierre</w:t>
            </w:r>
          </w:p>
        </w:tc>
        <w:tc>
          <w:tcPr>
            <w:tcW w:w="14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decimal(18,4)</w:t>
            </w:r>
          </w:p>
        </w:tc>
        <w:tc>
          <w:tcPr>
            <w:tcW w:w="14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No</w:t>
            </w:r>
          </w:p>
        </w:tc>
        <w:tc>
          <w:tcPr>
            <w:tcW w:w="35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Se congela al cerrar el despacho</w:t>
            </w:r>
          </w:p>
        </w:tc>
      </w:tr>
      <w:tr>
        <w:trPr/>
        <w:tc>
          <w:tcPr>
            <w:tcW w:w="2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estado</w:t>
            </w:r>
          </w:p>
        </w:tc>
        <w:tc>
          <w:tcPr>
            <w:tcW w:w="14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enum</w:t>
            </w:r>
          </w:p>
        </w:tc>
        <w:tc>
          <w:tcPr>
            <w:tcW w:w="14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Borrador → En tránsito → Arribado → Despachado → Cerrado</w:t>
            </w:r>
          </w:p>
        </w:tc>
      </w:tr>
      <w:tr>
        <w:trPr/>
        <w:tc>
          <w:tcPr>
            <w:tcW w:w="2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perfil</w:t>
            </w:r>
          </w:p>
        </w:tc>
        <w:tc>
          <w:tcPr>
            <w:tcW w:w="14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enum</w:t>
            </w:r>
          </w:p>
        </w:tc>
        <w:tc>
          <w:tcPr>
            <w:tcW w:w="14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AUTOS o CONSUMO_MASIVO</w:t>
            </w:r>
          </w:p>
        </w:tc>
      </w:tr>
      <w:tr>
        <w:trPr/>
        <w:tc>
          <w:tcPr>
            <w:tcW w:w="2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bitacora_id</w:t>
            </w:r>
          </w:p>
        </w:tc>
        <w:tc>
          <w:tcPr>
            <w:tcW w:w="14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FK</w:t>
            </w:r>
          </w:p>
        </w:tc>
        <w:tc>
          <w:tcPr>
            <w:tcW w:w="14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No</w:t>
            </w:r>
          </w:p>
        </w:tc>
        <w:tc>
          <w:tcPr>
            <w:tcW w:w="352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Auditoría</w:t>
            </w:r>
          </w:p>
        </w:tc>
      </w:tr>
    </w:tbl>
    <w:p>
      <w:pPr>
        <w:pStyle w:val="Normal"/>
        <w:spacing w:before="0" w:after="180"/>
        <w:rPr/>
      </w:pPr>
      <w:r>
        <w:rPr/>
      </w:r>
    </w:p>
    <w:p>
      <w:pPr>
        <w:pStyle w:val="Heading2"/>
        <w:rPr/>
      </w:pPr>
      <w:r>
        <w:rPr/>
        <w:t>6.2 Ítem del embarque — Vehículo (perfil autos)</w:t>
      </w:r>
    </w:p>
    <w:tbl>
      <w:tblPr>
        <w:tblW w:w="9026" w:type="dxa"/>
        <w:jc w:val="left"/>
        <w:tblInd w:w="0" w:type="dxa"/>
        <w:tblLayout w:type="fixed"/>
        <w:tblCellMar>
          <w:top w:w="100" w:type="dxa"/>
          <w:left w:w="140" w:type="dxa"/>
          <w:bottom w:w="100" w:type="dxa"/>
          <w:right w:w="140" w:type="dxa"/>
        </w:tblCellMar>
        <w:tblLook w:val="0000" w:noHBand="0" w:noVBand="0" w:firstColumn="0" w:lastRow="0" w:lastColumn="0" w:firstRow="0"/>
      </w:tblPr>
      <w:tblGrid>
        <w:gridCol w:w="2600"/>
        <w:gridCol w:w="1499"/>
        <w:gridCol w:w="1401"/>
        <w:gridCol w:w="3525"/>
      </w:tblGrid>
      <w:tr>
        <w:trPr>
          <w:tblHeader w:val="true"/>
        </w:trPr>
        <w:tc>
          <w:tcPr>
            <w:tcW w:w="2600"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Campo</w:t>
            </w:r>
          </w:p>
        </w:tc>
        <w:tc>
          <w:tcPr>
            <w:tcW w:w="1499"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Tipo</w:t>
            </w:r>
          </w:p>
        </w:tc>
        <w:tc>
          <w:tcPr>
            <w:tcW w:w="1401"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Obligatorio</w:t>
            </w:r>
          </w:p>
        </w:tc>
        <w:tc>
          <w:tcPr>
            <w:tcW w:w="3525"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Notas</w:t>
            </w:r>
          </w:p>
        </w:tc>
      </w:tr>
      <w:tr>
        <w:trPr/>
        <w:tc>
          <w:tcPr>
            <w:tcW w:w="2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chasis</w:t>
            </w:r>
          </w:p>
        </w:tc>
        <w:tc>
          <w:tcPr>
            <w:tcW w:w="14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string(17)</w:t>
            </w:r>
          </w:p>
        </w:tc>
        <w:tc>
          <w:tcPr>
            <w:tcW w:w="14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VIN. Único. Validación de formato.</w:t>
            </w:r>
          </w:p>
        </w:tc>
      </w:tr>
      <w:tr>
        <w:trPr/>
        <w:tc>
          <w:tcPr>
            <w:tcW w:w="2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motor</w:t>
            </w:r>
          </w:p>
        </w:tc>
        <w:tc>
          <w:tcPr>
            <w:tcW w:w="14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string</w:t>
            </w:r>
          </w:p>
        </w:tc>
        <w:tc>
          <w:tcPr>
            <w:tcW w:w="14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Serie del motor</w:t>
            </w:r>
          </w:p>
        </w:tc>
      </w:tr>
      <w:tr>
        <w:trPr/>
        <w:tc>
          <w:tcPr>
            <w:tcW w:w="2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marca</w:t>
            </w:r>
          </w:p>
        </w:tc>
        <w:tc>
          <w:tcPr>
            <w:tcW w:w="14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string</w:t>
            </w:r>
          </w:p>
        </w:tc>
        <w:tc>
          <w:tcPr>
            <w:tcW w:w="14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Toyota, Hyundai, KIA, Honda, etc.</w:t>
            </w:r>
          </w:p>
        </w:tc>
      </w:tr>
      <w:tr>
        <w:trPr/>
        <w:tc>
          <w:tcPr>
            <w:tcW w:w="2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modelo</w:t>
            </w:r>
          </w:p>
        </w:tc>
        <w:tc>
          <w:tcPr>
            <w:tcW w:w="14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string</w:t>
            </w:r>
          </w:p>
        </w:tc>
        <w:tc>
          <w:tcPr>
            <w:tcW w:w="14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Corolla, Tucson, Fit, etc.</w:t>
            </w:r>
          </w:p>
        </w:tc>
      </w:tr>
      <w:tr>
        <w:trPr/>
        <w:tc>
          <w:tcPr>
            <w:tcW w:w="2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version</w:t>
            </w:r>
          </w:p>
        </w:tc>
        <w:tc>
          <w:tcPr>
            <w:tcW w:w="14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string</w:t>
            </w:r>
          </w:p>
        </w:tc>
        <w:tc>
          <w:tcPr>
            <w:tcW w:w="14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No</w:t>
            </w:r>
          </w:p>
        </w:tc>
        <w:tc>
          <w:tcPr>
            <w:tcW w:w="35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Trim</w:t>
            </w:r>
          </w:p>
        </w:tc>
      </w:tr>
      <w:tr>
        <w:trPr/>
        <w:tc>
          <w:tcPr>
            <w:tcW w:w="2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anio</w:t>
            </w:r>
          </w:p>
        </w:tc>
        <w:tc>
          <w:tcPr>
            <w:tcW w:w="14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int</w:t>
            </w:r>
          </w:p>
        </w:tc>
        <w:tc>
          <w:tcPr>
            <w:tcW w:w="14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Para ISC</w:t>
            </w:r>
          </w:p>
        </w:tc>
      </w:tr>
      <w:tr>
        <w:trPr/>
        <w:tc>
          <w:tcPr>
            <w:tcW w:w="2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cilindrada_cc</w:t>
            </w:r>
          </w:p>
        </w:tc>
        <w:tc>
          <w:tcPr>
            <w:tcW w:w="14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int</w:t>
            </w:r>
          </w:p>
        </w:tc>
        <w:tc>
          <w:tcPr>
            <w:tcW w:w="14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Para ISC e impuestos</w:t>
            </w:r>
          </w:p>
        </w:tc>
      </w:tr>
      <w:tr>
        <w:trPr/>
        <w:tc>
          <w:tcPr>
            <w:tcW w:w="2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kilometraje</w:t>
            </w:r>
          </w:p>
        </w:tc>
        <w:tc>
          <w:tcPr>
            <w:tcW w:w="14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int</w:t>
            </w:r>
          </w:p>
        </w:tc>
        <w:tc>
          <w:tcPr>
            <w:tcW w:w="14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No</w:t>
            </w:r>
          </w:p>
        </w:tc>
        <w:tc>
          <w:tcPr>
            <w:tcW w:w="352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Declarado en origen</w:t>
            </w:r>
          </w:p>
        </w:tc>
      </w:tr>
      <w:tr>
        <w:trPr/>
        <w:tc>
          <w:tcPr>
            <w:tcW w:w="2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color</w:t>
            </w:r>
          </w:p>
        </w:tc>
        <w:tc>
          <w:tcPr>
            <w:tcW w:w="14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string</w:t>
            </w:r>
          </w:p>
        </w:tc>
        <w:tc>
          <w:tcPr>
            <w:tcW w:w="14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No</w:t>
            </w:r>
          </w:p>
        </w:tc>
        <w:tc>
          <w:tcPr>
            <w:tcW w:w="35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w:t>
            </w:r>
          </w:p>
        </w:tc>
      </w:tr>
      <w:tr>
        <w:trPr/>
        <w:tc>
          <w:tcPr>
            <w:tcW w:w="2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subasta_lote</w:t>
            </w:r>
          </w:p>
        </w:tc>
        <w:tc>
          <w:tcPr>
            <w:tcW w:w="14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string</w:t>
            </w:r>
          </w:p>
        </w:tc>
        <w:tc>
          <w:tcPr>
            <w:tcW w:w="14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No</w:t>
            </w:r>
          </w:p>
        </w:tc>
        <w:tc>
          <w:tcPr>
            <w:tcW w:w="352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Lote de subasta en origen</w:t>
            </w:r>
          </w:p>
        </w:tc>
      </w:tr>
      <w:tr>
        <w:trPr/>
        <w:tc>
          <w:tcPr>
            <w:tcW w:w="2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precio_fob_usd</w:t>
            </w:r>
          </w:p>
        </w:tc>
        <w:tc>
          <w:tcPr>
            <w:tcW w:w="14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decimal(12,2)</w:t>
            </w:r>
          </w:p>
        </w:tc>
        <w:tc>
          <w:tcPr>
            <w:tcW w:w="14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FOB origen</w:t>
            </w:r>
          </w:p>
        </w:tc>
      </w:tr>
      <w:tr>
        <w:trPr/>
        <w:tc>
          <w:tcPr>
            <w:tcW w:w="2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inland_origen_usd</w:t>
            </w:r>
          </w:p>
        </w:tc>
        <w:tc>
          <w:tcPr>
            <w:tcW w:w="14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decimal(10,2)</w:t>
            </w:r>
          </w:p>
        </w:tc>
        <w:tc>
          <w:tcPr>
            <w:tcW w:w="14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No</w:t>
            </w:r>
          </w:p>
        </w:tc>
        <w:tc>
          <w:tcPr>
            <w:tcW w:w="352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Transporte interno en origen</w:t>
            </w:r>
          </w:p>
        </w:tc>
      </w:tr>
      <w:tr>
        <w:trPr/>
        <w:tc>
          <w:tcPr>
            <w:tcW w:w="2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estado_vehiculo</w:t>
            </w:r>
          </w:p>
        </w:tc>
        <w:tc>
          <w:tcPr>
            <w:tcW w:w="14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enum</w:t>
            </w:r>
          </w:p>
        </w:tc>
        <w:tc>
          <w:tcPr>
            <w:tcW w:w="14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Disponible / Reservado / Vendido / Entregado</w:t>
            </w:r>
          </w:p>
        </w:tc>
      </w:tr>
      <w:tr>
        <w:trPr/>
        <w:tc>
          <w:tcPr>
            <w:tcW w:w="2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costo_unitario_gs</w:t>
            </w:r>
          </w:p>
        </w:tc>
        <w:tc>
          <w:tcPr>
            <w:tcW w:w="14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decimal(18,0)</w:t>
            </w:r>
          </w:p>
        </w:tc>
        <w:tc>
          <w:tcPr>
            <w:tcW w:w="14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No</w:t>
            </w:r>
          </w:p>
        </w:tc>
        <w:tc>
          <w:tcPr>
            <w:tcW w:w="352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Calculado</w:t>
            </w:r>
          </w:p>
        </w:tc>
      </w:tr>
    </w:tbl>
    <w:p>
      <w:pPr>
        <w:pStyle w:val="Normal"/>
        <w:spacing w:before="0" w:after="180"/>
        <w:rPr/>
      </w:pPr>
      <w:r>
        <w:rPr/>
      </w:r>
    </w:p>
    <w:p>
      <w:pPr>
        <w:pStyle w:val="Heading2"/>
        <w:rPr/>
      </w:pPr>
      <w:r>
        <w:rPr/>
        <w:t>6.3 Ítem del embarque — SKU (perfil consumo masivo)</w:t>
      </w:r>
    </w:p>
    <w:tbl>
      <w:tblPr>
        <w:tblW w:w="9026" w:type="dxa"/>
        <w:jc w:val="left"/>
        <w:tblInd w:w="0" w:type="dxa"/>
        <w:tblLayout w:type="fixed"/>
        <w:tblCellMar>
          <w:top w:w="100" w:type="dxa"/>
          <w:left w:w="140" w:type="dxa"/>
          <w:bottom w:w="100" w:type="dxa"/>
          <w:right w:w="140" w:type="dxa"/>
        </w:tblCellMar>
        <w:tblLook w:val="0000" w:noHBand="0" w:noVBand="0" w:firstColumn="0" w:lastRow="0" w:lastColumn="0" w:firstRow="0"/>
      </w:tblPr>
      <w:tblGrid>
        <w:gridCol w:w="2600"/>
        <w:gridCol w:w="1499"/>
        <w:gridCol w:w="1401"/>
        <w:gridCol w:w="3525"/>
      </w:tblGrid>
      <w:tr>
        <w:trPr>
          <w:tblHeader w:val="true"/>
        </w:trPr>
        <w:tc>
          <w:tcPr>
            <w:tcW w:w="2600"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Campo</w:t>
            </w:r>
          </w:p>
        </w:tc>
        <w:tc>
          <w:tcPr>
            <w:tcW w:w="1499"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Tipo</w:t>
            </w:r>
          </w:p>
        </w:tc>
        <w:tc>
          <w:tcPr>
            <w:tcW w:w="1401"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Obligatorio</w:t>
            </w:r>
          </w:p>
        </w:tc>
        <w:tc>
          <w:tcPr>
            <w:tcW w:w="3525"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Notas</w:t>
            </w:r>
          </w:p>
        </w:tc>
      </w:tr>
      <w:tr>
        <w:trPr/>
        <w:tc>
          <w:tcPr>
            <w:tcW w:w="2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linea_id</w:t>
            </w:r>
          </w:p>
        </w:tc>
        <w:tc>
          <w:tcPr>
            <w:tcW w:w="14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string</w:t>
            </w:r>
          </w:p>
        </w:tc>
        <w:tc>
          <w:tcPr>
            <w:tcW w:w="14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PK</w:t>
            </w:r>
          </w:p>
        </w:tc>
      </w:tr>
      <w:tr>
        <w:trPr/>
        <w:tc>
          <w:tcPr>
            <w:tcW w:w="2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sku_proveedor</w:t>
            </w:r>
          </w:p>
        </w:tc>
        <w:tc>
          <w:tcPr>
            <w:tcW w:w="14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string</w:t>
            </w:r>
          </w:p>
        </w:tc>
        <w:tc>
          <w:tcPr>
            <w:tcW w:w="14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Código original del fabricante</w:t>
            </w:r>
          </w:p>
        </w:tc>
      </w:tr>
      <w:tr>
        <w:trPr/>
        <w:tc>
          <w:tcPr>
            <w:tcW w:w="2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sku_interno</w:t>
            </w:r>
          </w:p>
        </w:tc>
        <w:tc>
          <w:tcPr>
            <w:tcW w:w="14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FK producto</w:t>
            </w:r>
          </w:p>
        </w:tc>
        <w:tc>
          <w:tcPr>
            <w:tcW w:w="14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No</w:t>
            </w:r>
          </w:p>
        </w:tc>
        <w:tc>
          <w:tcPr>
            <w:tcW w:w="35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Luego del mapeo</w:t>
            </w:r>
          </w:p>
        </w:tc>
      </w:tr>
      <w:tr>
        <w:trPr/>
        <w:tc>
          <w:tcPr>
            <w:tcW w:w="2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descripcion_origen</w:t>
            </w:r>
          </w:p>
        </w:tc>
        <w:tc>
          <w:tcPr>
            <w:tcW w:w="14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string</w:t>
            </w:r>
          </w:p>
        </w:tc>
        <w:tc>
          <w:tcPr>
            <w:tcW w:w="14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Tal como viene en factura china</w:t>
            </w:r>
          </w:p>
        </w:tc>
      </w:tr>
      <w:tr>
        <w:trPr/>
        <w:tc>
          <w:tcPr>
            <w:tcW w:w="2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cantidad</w:t>
            </w:r>
          </w:p>
        </w:tc>
        <w:tc>
          <w:tcPr>
            <w:tcW w:w="14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decimal(12,3)</w:t>
            </w:r>
          </w:p>
        </w:tc>
        <w:tc>
          <w:tcPr>
            <w:tcW w:w="14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Unidades</w:t>
            </w:r>
          </w:p>
        </w:tc>
      </w:tr>
      <w:tr>
        <w:trPr/>
        <w:tc>
          <w:tcPr>
            <w:tcW w:w="2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unidad</w:t>
            </w:r>
          </w:p>
        </w:tc>
        <w:tc>
          <w:tcPr>
            <w:tcW w:w="14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enum</w:t>
            </w:r>
          </w:p>
        </w:tc>
        <w:tc>
          <w:tcPr>
            <w:tcW w:w="14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lang w:val="en-US"/>
              </w:rPr>
            </w:pPr>
            <w:r>
              <w:rPr>
                <w:color w:val="0B1F3A"/>
                <w:sz w:val="20"/>
                <w:szCs w:val="20"/>
                <w:lang w:val="en-US"/>
              </w:rPr>
              <w:t>PCS, PAR, SET, CJ, KG</w:t>
            </w:r>
          </w:p>
        </w:tc>
      </w:tr>
      <w:tr>
        <w:trPr/>
        <w:tc>
          <w:tcPr>
            <w:tcW w:w="2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peso_unit_kg</w:t>
            </w:r>
          </w:p>
        </w:tc>
        <w:tc>
          <w:tcPr>
            <w:tcW w:w="14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decimal(10,3)</w:t>
            </w:r>
          </w:p>
        </w:tc>
        <w:tc>
          <w:tcPr>
            <w:tcW w:w="14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No</w:t>
            </w:r>
          </w:p>
        </w:tc>
        <w:tc>
          <w:tcPr>
            <w:tcW w:w="35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Para prorrateo por peso</w:t>
            </w:r>
          </w:p>
        </w:tc>
      </w:tr>
      <w:tr>
        <w:trPr/>
        <w:tc>
          <w:tcPr>
            <w:tcW w:w="2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cbm_unit</w:t>
            </w:r>
          </w:p>
        </w:tc>
        <w:tc>
          <w:tcPr>
            <w:tcW w:w="14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decimal(10,5)</w:t>
            </w:r>
          </w:p>
        </w:tc>
        <w:tc>
          <w:tcPr>
            <w:tcW w:w="14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No</w:t>
            </w:r>
          </w:p>
        </w:tc>
        <w:tc>
          <w:tcPr>
            <w:tcW w:w="352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Para prorrateo por volumen</w:t>
            </w:r>
          </w:p>
        </w:tc>
      </w:tr>
      <w:tr>
        <w:trPr/>
        <w:tc>
          <w:tcPr>
            <w:tcW w:w="2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fob_unit_usd</w:t>
            </w:r>
          </w:p>
        </w:tc>
        <w:tc>
          <w:tcPr>
            <w:tcW w:w="14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decimal(12,4)</w:t>
            </w:r>
          </w:p>
        </w:tc>
        <w:tc>
          <w:tcPr>
            <w:tcW w:w="14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FOB unitario</w:t>
            </w:r>
          </w:p>
        </w:tc>
      </w:tr>
      <w:tr>
        <w:trPr/>
        <w:tc>
          <w:tcPr>
            <w:tcW w:w="2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ncm</w:t>
            </w:r>
          </w:p>
        </w:tc>
        <w:tc>
          <w:tcPr>
            <w:tcW w:w="14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string</w:t>
            </w:r>
          </w:p>
        </w:tc>
        <w:tc>
          <w:tcPr>
            <w:tcW w:w="14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Para arancel e ISC</w:t>
            </w:r>
          </w:p>
        </w:tc>
      </w:tr>
      <w:tr>
        <w:trPr/>
        <w:tc>
          <w:tcPr>
            <w:tcW w:w="2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arancel_pct</w:t>
            </w:r>
          </w:p>
        </w:tc>
        <w:tc>
          <w:tcPr>
            <w:tcW w:w="14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decimal(5,2)</w:t>
            </w:r>
          </w:p>
        </w:tc>
        <w:tc>
          <w:tcPr>
            <w:tcW w:w="14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No</w:t>
            </w:r>
          </w:p>
        </w:tc>
        <w:tc>
          <w:tcPr>
            <w:tcW w:w="35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Copiado de la tabla NCM</w:t>
            </w:r>
          </w:p>
        </w:tc>
      </w:tr>
      <w:tr>
        <w:trPr/>
        <w:tc>
          <w:tcPr>
            <w:tcW w:w="2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isc_pct</w:t>
            </w:r>
          </w:p>
        </w:tc>
        <w:tc>
          <w:tcPr>
            <w:tcW w:w="14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decimal(5,2)</w:t>
            </w:r>
          </w:p>
        </w:tc>
        <w:tc>
          <w:tcPr>
            <w:tcW w:w="14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No</w:t>
            </w:r>
          </w:p>
        </w:tc>
        <w:tc>
          <w:tcPr>
            <w:tcW w:w="352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Si aplica</w:t>
            </w:r>
          </w:p>
        </w:tc>
      </w:tr>
      <w:tr>
        <w:trPr/>
        <w:tc>
          <w:tcPr>
            <w:tcW w:w="2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costo_unitario_gs</w:t>
            </w:r>
          </w:p>
        </w:tc>
        <w:tc>
          <w:tcPr>
            <w:tcW w:w="14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decimal(18,4)</w:t>
            </w:r>
          </w:p>
        </w:tc>
        <w:tc>
          <w:tcPr>
            <w:tcW w:w="14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No</w:t>
            </w:r>
          </w:p>
        </w:tc>
        <w:tc>
          <w:tcPr>
            <w:tcW w:w="35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Calculado</w:t>
            </w:r>
          </w:p>
        </w:tc>
      </w:tr>
    </w:tbl>
    <w:p>
      <w:pPr>
        <w:pStyle w:val="Normal"/>
        <w:spacing w:before="0" w:after="180"/>
        <w:rPr/>
      </w:pPr>
      <w:r>
        <w:rPr/>
      </w:r>
    </w:p>
    <w:p>
      <w:pPr>
        <w:pStyle w:val="Heading2"/>
        <w:rPr/>
      </w:pPr>
      <w:r>
        <w:rPr/>
        <w:t>6.4 Componente de costo (cost item)</w:t>
      </w:r>
    </w:p>
    <w:p>
      <w:pPr>
        <w:pStyle w:val="Normal"/>
        <w:spacing w:before="0" w:after="120"/>
        <w:jc w:val="both"/>
        <w:rPr/>
      </w:pPr>
      <w:r>
        <w:rPr/>
        <w:t>Entidad genérica que captura cualquier línea de costo asociada al embarque o a un ítem en particular.</w:t>
      </w:r>
    </w:p>
    <w:tbl>
      <w:tblPr>
        <w:tblW w:w="9026" w:type="dxa"/>
        <w:jc w:val="left"/>
        <w:tblInd w:w="0" w:type="dxa"/>
        <w:tblLayout w:type="fixed"/>
        <w:tblCellMar>
          <w:top w:w="100" w:type="dxa"/>
          <w:left w:w="140" w:type="dxa"/>
          <w:bottom w:w="100" w:type="dxa"/>
          <w:right w:w="140" w:type="dxa"/>
        </w:tblCellMar>
        <w:tblLook w:val="0000" w:noHBand="0" w:noVBand="0" w:firstColumn="0" w:lastRow="0" w:lastColumn="0" w:firstRow="0"/>
      </w:tblPr>
      <w:tblGrid>
        <w:gridCol w:w="2600"/>
        <w:gridCol w:w="1499"/>
        <w:gridCol w:w="1401"/>
        <w:gridCol w:w="3525"/>
      </w:tblGrid>
      <w:tr>
        <w:trPr>
          <w:tblHeader w:val="true"/>
        </w:trPr>
        <w:tc>
          <w:tcPr>
            <w:tcW w:w="2600"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Campo</w:t>
            </w:r>
          </w:p>
        </w:tc>
        <w:tc>
          <w:tcPr>
            <w:tcW w:w="1499"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Tipo</w:t>
            </w:r>
          </w:p>
        </w:tc>
        <w:tc>
          <w:tcPr>
            <w:tcW w:w="1401"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Obligatorio</w:t>
            </w:r>
          </w:p>
        </w:tc>
        <w:tc>
          <w:tcPr>
            <w:tcW w:w="3525"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Notas</w:t>
            </w:r>
          </w:p>
        </w:tc>
      </w:tr>
      <w:tr>
        <w:trPr/>
        <w:tc>
          <w:tcPr>
            <w:tcW w:w="2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id_costo</w:t>
            </w:r>
          </w:p>
        </w:tc>
        <w:tc>
          <w:tcPr>
            <w:tcW w:w="14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string</w:t>
            </w:r>
          </w:p>
        </w:tc>
        <w:tc>
          <w:tcPr>
            <w:tcW w:w="14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PK</w:t>
            </w:r>
          </w:p>
        </w:tc>
      </w:tr>
      <w:tr>
        <w:trPr/>
        <w:tc>
          <w:tcPr>
            <w:tcW w:w="2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embarque_id</w:t>
            </w:r>
          </w:p>
        </w:tc>
        <w:tc>
          <w:tcPr>
            <w:tcW w:w="14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FK</w:t>
            </w:r>
          </w:p>
        </w:tc>
        <w:tc>
          <w:tcPr>
            <w:tcW w:w="14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Embarque al que pertenece</w:t>
            </w:r>
          </w:p>
        </w:tc>
      </w:tr>
      <w:tr>
        <w:trPr/>
        <w:tc>
          <w:tcPr>
            <w:tcW w:w="2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item_id</w:t>
            </w:r>
          </w:p>
        </w:tc>
        <w:tc>
          <w:tcPr>
            <w:tcW w:w="14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FK</w:t>
            </w:r>
          </w:p>
        </w:tc>
        <w:tc>
          <w:tcPr>
            <w:tcW w:w="14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No</w:t>
            </w:r>
          </w:p>
        </w:tc>
        <w:tc>
          <w:tcPr>
            <w:tcW w:w="35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Si es directo al ítem</w:t>
            </w:r>
          </w:p>
        </w:tc>
      </w:tr>
      <w:tr>
        <w:trPr/>
        <w:tc>
          <w:tcPr>
            <w:tcW w:w="2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tipo_concepto</w:t>
            </w:r>
          </w:p>
        </w:tc>
        <w:tc>
          <w:tcPr>
            <w:tcW w:w="14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FK concepto</w:t>
            </w:r>
          </w:p>
        </w:tc>
        <w:tc>
          <w:tcPr>
            <w:tcW w:w="14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Ver tabla de conceptos</w:t>
            </w:r>
          </w:p>
        </w:tc>
      </w:tr>
      <w:tr>
        <w:trPr/>
        <w:tc>
          <w:tcPr>
            <w:tcW w:w="2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importe</w:t>
            </w:r>
          </w:p>
        </w:tc>
        <w:tc>
          <w:tcPr>
            <w:tcW w:w="14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decimal(18,4)</w:t>
            </w:r>
          </w:p>
        </w:tc>
        <w:tc>
          <w:tcPr>
            <w:tcW w:w="14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En moneda origen</w:t>
            </w:r>
          </w:p>
        </w:tc>
      </w:tr>
      <w:tr>
        <w:trPr/>
        <w:tc>
          <w:tcPr>
            <w:tcW w:w="2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moneda</w:t>
            </w:r>
          </w:p>
        </w:tc>
        <w:tc>
          <w:tcPr>
            <w:tcW w:w="14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enum</w:t>
            </w:r>
          </w:p>
        </w:tc>
        <w:tc>
          <w:tcPr>
            <w:tcW w:w="14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USD, Gs</w:t>
            </w:r>
          </w:p>
        </w:tc>
      </w:tr>
      <w:tr>
        <w:trPr/>
        <w:tc>
          <w:tcPr>
            <w:tcW w:w="2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cotizacion</w:t>
            </w:r>
          </w:p>
        </w:tc>
        <w:tc>
          <w:tcPr>
            <w:tcW w:w="14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decimal(18,4)</w:t>
            </w:r>
          </w:p>
        </w:tc>
        <w:tc>
          <w:tcPr>
            <w:tcW w:w="14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Usada para convertir a Gs.</w:t>
            </w:r>
          </w:p>
        </w:tc>
      </w:tr>
      <w:tr>
        <w:trPr/>
        <w:tc>
          <w:tcPr>
            <w:tcW w:w="2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importe_gs</w:t>
            </w:r>
          </w:p>
        </w:tc>
        <w:tc>
          <w:tcPr>
            <w:tcW w:w="14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decimal(18,0)</w:t>
            </w:r>
          </w:p>
        </w:tc>
        <w:tc>
          <w:tcPr>
            <w:tcW w:w="14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Calculado</w:t>
            </w:r>
          </w:p>
        </w:tc>
      </w:tr>
      <w:tr>
        <w:trPr/>
        <w:tc>
          <w:tcPr>
            <w:tcW w:w="2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es_directo</w:t>
            </w:r>
          </w:p>
        </w:tc>
        <w:tc>
          <w:tcPr>
            <w:tcW w:w="14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bool</w:t>
            </w:r>
          </w:p>
        </w:tc>
        <w:tc>
          <w:tcPr>
            <w:tcW w:w="14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true = se asigna al item_id</w:t>
            </w:r>
          </w:p>
        </w:tc>
      </w:tr>
      <w:tr>
        <w:trPr/>
        <w:tc>
          <w:tcPr>
            <w:tcW w:w="2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criterio_prorrateo</w:t>
            </w:r>
          </w:p>
        </w:tc>
        <w:tc>
          <w:tcPr>
            <w:tcW w:w="14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enum</w:t>
            </w:r>
          </w:p>
        </w:tc>
        <w:tc>
          <w:tcPr>
            <w:tcW w:w="14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No</w:t>
            </w:r>
          </w:p>
        </w:tc>
        <w:tc>
          <w:tcPr>
            <w:tcW w:w="352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FOB, PESO, CBM, CANTIDAD, IGUAL</w:t>
            </w:r>
          </w:p>
        </w:tc>
      </w:tr>
      <w:tr>
        <w:trPr/>
        <w:tc>
          <w:tcPr>
            <w:tcW w:w="2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proveedor_factura</w:t>
            </w:r>
          </w:p>
        </w:tc>
        <w:tc>
          <w:tcPr>
            <w:tcW w:w="14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FK</w:t>
            </w:r>
          </w:p>
        </w:tc>
        <w:tc>
          <w:tcPr>
            <w:tcW w:w="14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No</w:t>
            </w:r>
          </w:p>
        </w:tc>
        <w:tc>
          <w:tcPr>
            <w:tcW w:w="35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Nº de factura local o del exterior</w:t>
            </w:r>
          </w:p>
        </w:tc>
      </w:tr>
      <w:tr>
        <w:trPr/>
        <w:tc>
          <w:tcPr>
            <w:tcW w:w="2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fecha_devengo</w:t>
            </w:r>
          </w:p>
        </w:tc>
        <w:tc>
          <w:tcPr>
            <w:tcW w:w="14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date</w:t>
            </w:r>
          </w:p>
        </w:tc>
        <w:tc>
          <w:tcPr>
            <w:tcW w:w="14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Para cutoff contable</w:t>
            </w:r>
          </w:p>
        </w:tc>
      </w:tr>
      <w:tr>
        <w:trPr/>
        <w:tc>
          <w:tcPr>
            <w:tcW w:w="2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fecha_pago</w:t>
            </w:r>
          </w:p>
        </w:tc>
        <w:tc>
          <w:tcPr>
            <w:tcW w:w="14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date</w:t>
            </w:r>
          </w:p>
        </w:tc>
        <w:tc>
          <w:tcPr>
            <w:tcW w:w="14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No</w:t>
            </w:r>
          </w:p>
        </w:tc>
        <w:tc>
          <w:tcPr>
            <w:tcW w:w="35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Si ya se pagó</w:t>
            </w:r>
          </w:p>
        </w:tc>
      </w:tr>
      <w:tr>
        <w:trPr/>
        <w:tc>
          <w:tcPr>
            <w:tcW w:w="2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estado</w:t>
            </w:r>
          </w:p>
        </w:tc>
        <w:tc>
          <w:tcPr>
            <w:tcW w:w="14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enum</w:t>
            </w:r>
          </w:p>
        </w:tc>
        <w:tc>
          <w:tcPr>
            <w:tcW w:w="14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Borrador / Confirmado / Contabilizado</w:t>
            </w:r>
          </w:p>
        </w:tc>
      </w:tr>
      <w:tr>
        <w:trPr/>
        <w:tc>
          <w:tcPr>
            <w:tcW w:w="2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es_posterior_cierre</w:t>
            </w:r>
          </w:p>
        </w:tc>
        <w:tc>
          <w:tcPr>
            <w:tcW w:w="14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bool</w:t>
            </w:r>
          </w:p>
        </w:tc>
        <w:tc>
          <w:tcPr>
            <w:tcW w:w="14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Dispara recostificación</w:t>
            </w:r>
          </w:p>
        </w:tc>
      </w:tr>
    </w:tbl>
    <w:p>
      <w:pPr>
        <w:pStyle w:val="Normal"/>
        <w:spacing w:before="0" w:after="180"/>
        <w:rPr/>
      </w:pPr>
      <w:r>
        <w:rPr/>
      </w:r>
    </w:p>
    <w:p>
      <w:pPr>
        <w:pStyle w:val="Heading2"/>
        <w:rPr/>
      </w:pPr>
      <w:r>
        <w:rPr/>
        <w:t>6.5 Escribanía y tarifario (solo autos)</w:t>
      </w:r>
    </w:p>
    <w:tbl>
      <w:tblPr>
        <w:tblW w:w="9026" w:type="dxa"/>
        <w:jc w:val="left"/>
        <w:tblInd w:w="0" w:type="dxa"/>
        <w:tblLayout w:type="fixed"/>
        <w:tblCellMar>
          <w:top w:w="100" w:type="dxa"/>
          <w:left w:w="140" w:type="dxa"/>
          <w:bottom w:w="100" w:type="dxa"/>
          <w:right w:w="140" w:type="dxa"/>
        </w:tblCellMar>
        <w:tblLook w:val="0000" w:noHBand="0" w:noVBand="0" w:firstColumn="0" w:lastRow="0" w:lastColumn="0" w:firstRow="0"/>
      </w:tblPr>
      <w:tblGrid>
        <w:gridCol w:w="2600"/>
        <w:gridCol w:w="1499"/>
        <w:gridCol w:w="1401"/>
        <w:gridCol w:w="3525"/>
      </w:tblGrid>
      <w:tr>
        <w:trPr>
          <w:tblHeader w:val="true"/>
        </w:trPr>
        <w:tc>
          <w:tcPr>
            <w:tcW w:w="2600"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Campo</w:t>
            </w:r>
          </w:p>
        </w:tc>
        <w:tc>
          <w:tcPr>
            <w:tcW w:w="1499"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Tipo</w:t>
            </w:r>
          </w:p>
        </w:tc>
        <w:tc>
          <w:tcPr>
            <w:tcW w:w="1401"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Obligatorio</w:t>
            </w:r>
          </w:p>
        </w:tc>
        <w:tc>
          <w:tcPr>
            <w:tcW w:w="3525"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Notas</w:t>
            </w:r>
          </w:p>
        </w:tc>
      </w:tr>
      <w:tr>
        <w:trPr/>
        <w:tc>
          <w:tcPr>
            <w:tcW w:w="2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escribania_id</w:t>
            </w:r>
          </w:p>
        </w:tc>
        <w:tc>
          <w:tcPr>
            <w:tcW w:w="14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string</w:t>
            </w:r>
          </w:p>
        </w:tc>
        <w:tc>
          <w:tcPr>
            <w:tcW w:w="14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PK</w:t>
            </w:r>
          </w:p>
        </w:tc>
      </w:tr>
      <w:tr>
        <w:trPr/>
        <w:tc>
          <w:tcPr>
            <w:tcW w:w="2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razon_social</w:t>
            </w:r>
          </w:p>
        </w:tc>
        <w:tc>
          <w:tcPr>
            <w:tcW w:w="14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string</w:t>
            </w:r>
          </w:p>
        </w:tc>
        <w:tc>
          <w:tcPr>
            <w:tcW w:w="14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Nombre escribanía</w:t>
            </w:r>
          </w:p>
        </w:tc>
      </w:tr>
      <w:tr>
        <w:trPr/>
        <w:tc>
          <w:tcPr>
            <w:tcW w:w="2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escribano_titular</w:t>
            </w:r>
          </w:p>
        </w:tc>
        <w:tc>
          <w:tcPr>
            <w:tcW w:w="14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string</w:t>
            </w:r>
          </w:p>
        </w:tc>
        <w:tc>
          <w:tcPr>
            <w:tcW w:w="14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Nombre del titular</w:t>
            </w:r>
          </w:p>
        </w:tc>
      </w:tr>
      <w:tr>
        <w:trPr/>
        <w:tc>
          <w:tcPr>
            <w:tcW w:w="2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ruc</w:t>
            </w:r>
          </w:p>
        </w:tc>
        <w:tc>
          <w:tcPr>
            <w:tcW w:w="14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string</w:t>
            </w:r>
          </w:p>
        </w:tc>
        <w:tc>
          <w:tcPr>
            <w:tcW w:w="14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RUC</w:t>
            </w:r>
          </w:p>
        </w:tc>
      </w:tr>
      <w:tr>
        <w:trPr/>
        <w:tc>
          <w:tcPr>
            <w:tcW w:w="2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matricula</w:t>
            </w:r>
          </w:p>
        </w:tc>
        <w:tc>
          <w:tcPr>
            <w:tcW w:w="14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string</w:t>
            </w:r>
          </w:p>
        </w:tc>
        <w:tc>
          <w:tcPr>
            <w:tcW w:w="14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Matrícula profesional</w:t>
            </w:r>
          </w:p>
        </w:tc>
      </w:tr>
      <w:tr>
        <w:trPr/>
        <w:tc>
          <w:tcPr>
            <w:tcW w:w="2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activa</w:t>
            </w:r>
          </w:p>
        </w:tc>
        <w:tc>
          <w:tcPr>
            <w:tcW w:w="14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bool</w:t>
            </w:r>
          </w:p>
        </w:tc>
        <w:tc>
          <w:tcPr>
            <w:tcW w:w="14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Disponibilidad</w:t>
            </w:r>
          </w:p>
        </w:tc>
      </w:tr>
      <w:tr>
        <w:trPr/>
        <w:tc>
          <w:tcPr>
            <w:tcW w:w="2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tarifa_transferencia</w:t>
            </w:r>
          </w:p>
        </w:tc>
        <w:tc>
          <w:tcPr>
            <w:tcW w:w="14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decimal(18,0)</w:t>
            </w:r>
          </w:p>
        </w:tc>
        <w:tc>
          <w:tcPr>
            <w:tcW w:w="14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En Gs.</w:t>
            </w:r>
          </w:p>
        </w:tc>
      </w:tr>
      <w:tr>
        <w:trPr/>
        <w:tc>
          <w:tcPr>
            <w:tcW w:w="2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tarifa_transferencia_prenda</w:t>
            </w:r>
          </w:p>
        </w:tc>
        <w:tc>
          <w:tcPr>
            <w:tcW w:w="14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decimal(18,0)</w:t>
            </w:r>
          </w:p>
        </w:tc>
        <w:tc>
          <w:tcPr>
            <w:tcW w:w="14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No</w:t>
            </w:r>
          </w:p>
        </w:tc>
        <w:tc>
          <w:tcPr>
            <w:tcW w:w="352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Con prenda bancaria</w:t>
            </w:r>
          </w:p>
        </w:tc>
      </w:tr>
      <w:tr>
        <w:trPr/>
        <w:tc>
          <w:tcPr>
            <w:tcW w:w="2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tarifa_primera_inscripcion</w:t>
            </w:r>
          </w:p>
        </w:tc>
        <w:tc>
          <w:tcPr>
            <w:tcW w:w="14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decimal(18,0)</w:t>
            </w:r>
          </w:p>
        </w:tc>
        <w:tc>
          <w:tcPr>
            <w:tcW w:w="14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No</w:t>
            </w:r>
          </w:p>
        </w:tc>
        <w:tc>
          <w:tcPr>
            <w:tcW w:w="35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0 km</w:t>
            </w:r>
          </w:p>
        </w:tc>
      </w:tr>
      <w:tr>
        <w:trPr/>
        <w:tc>
          <w:tcPr>
            <w:tcW w:w="2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tarifa_chapa</w:t>
            </w:r>
          </w:p>
        </w:tc>
        <w:tc>
          <w:tcPr>
            <w:tcW w:w="14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decimal(18,0)</w:t>
            </w:r>
          </w:p>
        </w:tc>
        <w:tc>
          <w:tcPr>
            <w:tcW w:w="14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No</w:t>
            </w:r>
          </w:p>
        </w:tc>
        <w:tc>
          <w:tcPr>
            <w:tcW w:w="352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Gestión de chapa</w:t>
            </w:r>
          </w:p>
        </w:tc>
      </w:tr>
      <w:tr>
        <w:trPr/>
        <w:tc>
          <w:tcPr>
            <w:tcW w:w="2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tarifa_cedula_verde</w:t>
            </w:r>
          </w:p>
        </w:tc>
        <w:tc>
          <w:tcPr>
            <w:tcW w:w="14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decimal(18,0)</w:t>
            </w:r>
          </w:p>
        </w:tc>
        <w:tc>
          <w:tcPr>
            <w:tcW w:w="14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No</w:t>
            </w:r>
          </w:p>
        </w:tc>
        <w:tc>
          <w:tcPr>
            <w:tcW w:w="35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Gestión de cédula verde</w:t>
            </w:r>
          </w:p>
        </w:tc>
      </w:tr>
      <w:tr>
        <w:trPr/>
        <w:tc>
          <w:tcPr>
            <w:tcW w:w="2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observaciones</w:t>
            </w:r>
          </w:p>
        </w:tc>
        <w:tc>
          <w:tcPr>
            <w:tcW w:w="14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text</w:t>
            </w:r>
          </w:p>
        </w:tc>
        <w:tc>
          <w:tcPr>
            <w:tcW w:w="14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No</w:t>
            </w:r>
          </w:p>
        </w:tc>
        <w:tc>
          <w:tcPr>
            <w:tcW w:w="352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Libre</w:t>
            </w:r>
          </w:p>
        </w:tc>
      </w:tr>
    </w:tbl>
    <w:p>
      <w:pPr>
        <w:pStyle w:val="Normal"/>
        <w:spacing w:before="0" w:after="180"/>
        <w:rPr/>
      </w:pPr>
      <w:r>
        <w:rPr/>
      </w:r>
    </w:p>
    <w:p>
      <w:pPr>
        <w:pStyle w:val="Heading2"/>
        <w:rPr/>
      </w:pPr>
      <w:r>
        <w:rPr/>
        <w:t>6.6 Tramite de transferencia (solo autos)</w:t>
      </w:r>
    </w:p>
    <w:tbl>
      <w:tblPr>
        <w:tblW w:w="9026" w:type="dxa"/>
        <w:jc w:val="left"/>
        <w:tblInd w:w="0" w:type="dxa"/>
        <w:tblLayout w:type="fixed"/>
        <w:tblCellMar>
          <w:top w:w="100" w:type="dxa"/>
          <w:left w:w="140" w:type="dxa"/>
          <w:bottom w:w="100" w:type="dxa"/>
          <w:right w:w="140" w:type="dxa"/>
        </w:tblCellMar>
        <w:tblLook w:val="0000" w:noHBand="0" w:noVBand="0" w:firstColumn="0" w:lastRow="0" w:lastColumn="0" w:firstRow="0"/>
      </w:tblPr>
      <w:tblGrid>
        <w:gridCol w:w="2600"/>
        <w:gridCol w:w="1499"/>
        <w:gridCol w:w="1401"/>
        <w:gridCol w:w="3525"/>
      </w:tblGrid>
      <w:tr>
        <w:trPr>
          <w:tblHeader w:val="true"/>
        </w:trPr>
        <w:tc>
          <w:tcPr>
            <w:tcW w:w="2600"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Campo</w:t>
            </w:r>
          </w:p>
        </w:tc>
        <w:tc>
          <w:tcPr>
            <w:tcW w:w="1499"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Tipo</w:t>
            </w:r>
          </w:p>
        </w:tc>
        <w:tc>
          <w:tcPr>
            <w:tcW w:w="1401"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Obligatorio</w:t>
            </w:r>
          </w:p>
        </w:tc>
        <w:tc>
          <w:tcPr>
            <w:tcW w:w="3525"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Notas</w:t>
            </w:r>
          </w:p>
        </w:tc>
      </w:tr>
      <w:tr>
        <w:trPr/>
        <w:tc>
          <w:tcPr>
            <w:tcW w:w="2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tramite_id</w:t>
            </w:r>
          </w:p>
        </w:tc>
        <w:tc>
          <w:tcPr>
            <w:tcW w:w="14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string</w:t>
            </w:r>
          </w:p>
        </w:tc>
        <w:tc>
          <w:tcPr>
            <w:tcW w:w="14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PK</w:t>
            </w:r>
          </w:p>
        </w:tc>
      </w:tr>
      <w:tr>
        <w:trPr/>
        <w:tc>
          <w:tcPr>
            <w:tcW w:w="2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venta_id</w:t>
            </w:r>
          </w:p>
        </w:tc>
        <w:tc>
          <w:tcPr>
            <w:tcW w:w="14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FK venta</w:t>
            </w:r>
          </w:p>
        </w:tc>
        <w:tc>
          <w:tcPr>
            <w:tcW w:w="14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Venta origen del trámite</w:t>
            </w:r>
          </w:p>
        </w:tc>
      </w:tr>
      <w:tr>
        <w:trPr/>
        <w:tc>
          <w:tcPr>
            <w:tcW w:w="2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vehiculo_id</w:t>
            </w:r>
          </w:p>
        </w:tc>
        <w:tc>
          <w:tcPr>
            <w:tcW w:w="14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FK vehículo</w:t>
            </w:r>
          </w:p>
        </w:tc>
        <w:tc>
          <w:tcPr>
            <w:tcW w:w="14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Chasis</w:t>
            </w:r>
          </w:p>
        </w:tc>
      </w:tr>
      <w:tr>
        <w:trPr/>
        <w:tc>
          <w:tcPr>
            <w:tcW w:w="2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escribania_id</w:t>
            </w:r>
          </w:p>
        </w:tc>
        <w:tc>
          <w:tcPr>
            <w:tcW w:w="14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FK escribanía</w:t>
            </w:r>
          </w:p>
        </w:tc>
        <w:tc>
          <w:tcPr>
            <w:tcW w:w="14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Asignación</w:t>
            </w:r>
          </w:p>
        </w:tc>
      </w:tr>
      <w:tr>
        <w:trPr/>
        <w:tc>
          <w:tcPr>
            <w:tcW w:w="2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tipo_tramite</w:t>
            </w:r>
          </w:p>
        </w:tc>
        <w:tc>
          <w:tcPr>
            <w:tcW w:w="14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enum</w:t>
            </w:r>
          </w:p>
        </w:tc>
        <w:tc>
          <w:tcPr>
            <w:tcW w:w="14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Transf / Transf+prenda / 1ª inscripción</w:t>
            </w:r>
          </w:p>
        </w:tc>
      </w:tr>
      <w:tr>
        <w:trPr/>
        <w:tc>
          <w:tcPr>
            <w:tcW w:w="2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cliente_id</w:t>
            </w:r>
          </w:p>
        </w:tc>
        <w:tc>
          <w:tcPr>
            <w:tcW w:w="14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FK cliente</w:t>
            </w:r>
          </w:p>
        </w:tc>
        <w:tc>
          <w:tcPr>
            <w:tcW w:w="14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Adquirente</w:t>
            </w:r>
          </w:p>
        </w:tc>
      </w:tr>
      <w:tr>
        <w:trPr/>
        <w:tc>
          <w:tcPr>
            <w:tcW w:w="2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monto_honorarios_gs</w:t>
            </w:r>
          </w:p>
        </w:tc>
        <w:tc>
          <w:tcPr>
            <w:tcW w:w="14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decimal(18,0)</w:t>
            </w:r>
          </w:p>
        </w:tc>
        <w:tc>
          <w:tcPr>
            <w:tcW w:w="14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Congelado al asignar</w:t>
            </w:r>
          </w:p>
        </w:tc>
      </w:tr>
      <w:tr>
        <w:trPr/>
        <w:tc>
          <w:tcPr>
            <w:tcW w:w="2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estado</w:t>
            </w:r>
          </w:p>
        </w:tc>
        <w:tc>
          <w:tcPr>
            <w:tcW w:w="14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enum</w:t>
            </w:r>
          </w:p>
        </w:tc>
        <w:tc>
          <w:tcPr>
            <w:tcW w:w="14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Asignado / En curso / Firmado / Inscrito / Entregado</w:t>
            </w:r>
          </w:p>
        </w:tc>
      </w:tr>
      <w:tr>
        <w:trPr/>
        <w:tc>
          <w:tcPr>
            <w:tcW w:w="2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fecha_asignacion</w:t>
            </w:r>
          </w:p>
        </w:tc>
        <w:tc>
          <w:tcPr>
            <w:tcW w:w="14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date</w:t>
            </w:r>
          </w:p>
        </w:tc>
        <w:tc>
          <w:tcPr>
            <w:tcW w:w="14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Sí</w:t>
            </w:r>
          </w:p>
        </w:tc>
        <w:tc>
          <w:tcPr>
            <w:tcW w:w="35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w:t>
            </w:r>
          </w:p>
        </w:tc>
      </w:tr>
      <w:tr>
        <w:trPr/>
        <w:tc>
          <w:tcPr>
            <w:tcW w:w="2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fecha_firma</w:t>
            </w:r>
          </w:p>
        </w:tc>
        <w:tc>
          <w:tcPr>
            <w:tcW w:w="14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date</w:t>
            </w:r>
          </w:p>
        </w:tc>
        <w:tc>
          <w:tcPr>
            <w:tcW w:w="14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No</w:t>
            </w:r>
          </w:p>
        </w:tc>
        <w:tc>
          <w:tcPr>
            <w:tcW w:w="352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w:t>
            </w:r>
          </w:p>
        </w:tc>
      </w:tr>
      <w:tr>
        <w:trPr/>
        <w:tc>
          <w:tcPr>
            <w:tcW w:w="2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fecha_inscripcion</w:t>
            </w:r>
          </w:p>
        </w:tc>
        <w:tc>
          <w:tcPr>
            <w:tcW w:w="14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date</w:t>
            </w:r>
          </w:p>
        </w:tc>
        <w:tc>
          <w:tcPr>
            <w:tcW w:w="14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No</w:t>
            </w:r>
          </w:p>
        </w:tc>
        <w:tc>
          <w:tcPr>
            <w:tcW w:w="35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Inscripción en RACPR</w:t>
            </w:r>
          </w:p>
        </w:tc>
      </w:tr>
      <w:tr>
        <w:trPr/>
        <w:tc>
          <w:tcPr>
            <w:tcW w:w="2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fecha_entrega</w:t>
            </w:r>
          </w:p>
        </w:tc>
        <w:tc>
          <w:tcPr>
            <w:tcW w:w="14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date</w:t>
            </w:r>
          </w:p>
        </w:tc>
        <w:tc>
          <w:tcPr>
            <w:tcW w:w="14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No</w:t>
            </w:r>
          </w:p>
        </w:tc>
        <w:tc>
          <w:tcPr>
            <w:tcW w:w="352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Entrega documentación</w:t>
            </w:r>
          </w:p>
        </w:tc>
      </w:tr>
      <w:tr>
        <w:trPr/>
        <w:tc>
          <w:tcPr>
            <w:tcW w:w="2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factura_escribania</w:t>
            </w:r>
          </w:p>
        </w:tc>
        <w:tc>
          <w:tcPr>
            <w:tcW w:w="14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FK</w:t>
            </w:r>
          </w:p>
        </w:tc>
        <w:tc>
          <w:tcPr>
            <w:tcW w:w="14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No</w:t>
            </w:r>
          </w:p>
        </w:tc>
        <w:tc>
          <w:tcPr>
            <w:tcW w:w="35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Si la escribanía facturó por fuera</w:t>
            </w:r>
          </w:p>
        </w:tc>
      </w:tr>
    </w:tbl>
    <w:p>
      <w:pPr>
        <w:pStyle w:val="Heading1"/>
        <w:rPr/>
      </w:pPr>
      <w:r>
        <w:br w:type="page"/>
      </w:r>
      <w:r>
        <w:rPr/>
        <w:t>7. Catálogo de componentes de costo</w:t>
      </w:r>
    </w:p>
    <w:p>
      <w:pPr>
        <w:pStyle w:val="Normal"/>
        <w:spacing w:before="0" w:after="120"/>
        <w:jc w:val="both"/>
        <w:rPr/>
      </w:pPr>
      <w:r>
        <w:rPr/>
        <w:t>Cada línea de costo del embarque pertenece a uno de estos conceptos. El sistema trae la tabla precargada y el usuario puede desactivar los que no le aplican.</w:t>
      </w:r>
    </w:p>
    <w:p>
      <w:pPr>
        <w:pStyle w:val="Heading2"/>
        <w:rPr/>
      </w:pPr>
      <w:r>
        <w:rPr/>
        <w:t>7.1 Origen</w:t>
      </w:r>
    </w:p>
    <w:tbl>
      <w:tblPr>
        <w:tblW w:w="9026" w:type="dxa"/>
        <w:jc w:val="left"/>
        <w:tblInd w:w="0" w:type="dxa"/>
        <w:tblLayout w:type="fixed"/>
        <w:tblCellMar>
          <w:top w:w="100" w:type="dxa"/>
          <w:left w:w="140" w:type="dxa"/>
          <w:bottom w:w="100" w:type="dxa"/>
          <w:right w:w="140" w:type="dxa"/>
        </w:tblCellMar>
        <w:tblLook w:val="0000" w:noHBand="0" w:noVBand="0" w:firstColumn="0" w:lastRow="0" w:lastColumn="0" w:firstRow="0"/>
      </w:tblPr>
      <w:tblGrid>
        <w:gridCol w:w="2799"/>
        <w:gridCol w:w="1000"/>
        <w:gridCol w:w="1601"/>
        <w:gridCol w:w="1299"/>
        <w:gridCol w:w="2327"/>
      </w:tblGrid>
      <w:tr>
        <w:trPr>
          <w:tblHeader w:val="true"/>
        </w:trPr>
        <w:tc>
          <w:tcPr>
            <w:tcW w:w="2799"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Concepto</w:t>
            </w:r>
          </w:p>
        </w:tc>
        <w:tc>
          <w:tcPr>
            <w:tcW w:w="1000"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Moneda</w:t>
            </w:r>
          </w:p>
        </w:tc>
        <w:tc>
          <w:tcPr>
            <w:tcW w:w="1601"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Imputación</w:t>
            </w:r>
          </w:p>
        </w:tc>
        <w:tc>
          <w:tcPr>
            <w:tcW w:w="1299"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Prorrateo</w:t>
            </w:r>
          </w:p>
        </w:tc>
        <w:tc>
          <w:tcPr>
            <w:tcW w:w="2327"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Aplica a</w:t>
            </w:r>
          </w:p>
        </w:tc>
      </w:tr>
      <w:tr>
        <w:trPr/>
        <w:tc>
          <w:tcPr>
            <w:tcW w:w="27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FOB — Precio en origen</w:t>
            </w:r>
          </w:p>
        </w:tc>
        <w:tc>
          <w:tcPr>
            <w:tcW w:w="10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USD</w:t>
            </w:r>
          </w:p>
        </w:tc>
        <w:tc>
          <w:tcPr>
            <w:tcW w:w="16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Directo al ítem</w:t>
            </w:r>
          </w:p>
        </w:tc>
        <w:tc>
          <w:tcPr>
            <w:tcW w:w="12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w:t>
            </w:r>
          </w:p>
        </w:tc>
        <w:tc>
          <w:tcPr>
            <w:tcW w:w="2327"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Autos y consumo masivo</w:t>
            </w:r>
          </w:p>
        </w:tc>
      </w:tr>
      <w:tr>
        <w:trPr/>
        <w:tc>
          <w:tcPr>
            <w:tcW w:w="27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Inland origen (transporte interior)</w:t>
            </w:r>
          </w:p>
        </w:tc>
        <w:tc>
          <w:tcPr>
            <w:tcW w:w="10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USD</w:t>
            </w:r>
          </w:p>
        </w:tc>
        <w:tc>
          <w:tcPr>
            <w:tcW w:w="16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Directo o compartido</w:t>
            </w:r>
          </w:p>
        </w:tc>
        <w:tc>
          <w:tcPr>
            <w:tcW w:w="12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FOB / Unidad</w:t>
            </w:r>
          </w:p>
        </w:tc>
        <w:tc>
          <w:tcPr>
            <w:tcW w:w="2327"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Autos y consumo masivo</w:t>
            </w:r>
          </w:p>
        </w:tc>
      </w:tr>
      <w:tr>
        <w:trPr/>
        <w:tc>
          <w:tcPr>
            <w:tcW w:w="27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Impuestos de origen (si aplican)</w:t>
            </w:r>
          </w:p>
        </w:tc>
        <w:tc>
          <w:tcPr>
            <w:tcW w:w="10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USD</w:t>
            </w:r>
          </w:p>
        </w:tc>
        <w:tc>
          <w:tcPr>
            <w:tcW w:w="16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Directo o compartido</w:t>
            </w:r>
          </w:p>
        </w:tc>
        <w:tc>
          <w:tcPr>
            <w:tcW w:w="12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FOB</w:t>
            </w:r>
          </w:p>
        </w:tc>
        <w:tc>
          <w:tcPr>
            <w:tcW w:w="2327"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Autos y consumo masivo</w:t>
            </w:r>
          </w:p>
        </w:tc>
      </w:tr>
      <w:tr>
        <w:trPr/>
        <w:tc>
          <w:tcPr>
            <w:tcW w:w="27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Comisión de subasta / broker</w:t>
            </w:r>
          </w:p>
        </w:tc>
        <w:tc>
          <w:tcPr>
            <w:tcW w:w="10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USD</w:t>
            </w:r>
          </w:p>
        </w:tc>
        <w:tc>
          <w:tcPr>
            <w:tcW w:w="16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Directo al ítem</w:t>
            </w:r>
          </w:p>
        </w:tc>
        <w:tc>
          <w:tcPr>
            <w:tcW w:w="12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w:t>
            </w:r>
          </w:p>
        </w:tc>
        <w:tc>
          <w:tcPr>
            <w:tcW w:w="2327"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Autos (Japón/Korea)</w:t>
            </w:r>
          </w:p>
        </w:tc>
      </w:tr>
      <w:tr>
        <w:trPr/>
        <w:tc>
          <w:tcPr>
            <w:tcW w:w="27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Gastos de puerto origen</w:t>
            </w:r>
          </w:p>
        </w:tc>
        <w:tc>
          <w:tcPr>
            <w:tcW w:w="10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USD</w:t>
            </w:r>
          </w:p>
        </w:tc>
        <w:tc>
          <w:tcPr>
            <w:tcW w:w="16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Compartido</w:t>
            </w:r>
          </w:p>
        </w:tc>
        <w:tc>
          <w:tcPr>
            <w:tcW w:w="12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FOB / CBM</w:t>
            </w:r>
          </w:p>
        </w:tc>
        <w:tc>
          <w:tcPr>
            <w:tcW w:w="2327"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Ambos</w:t>
            </w:r>
          </w:p>
        </w:tc>
      </w:tr>
      <w:tr>
        <w:trPr/>
        <w:tc>
          <w:tcPr>
            <w:tcW w:w="27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Inspección pre-embarque (si se pide)</w:t>
            </w:r>
          </w:p>
        </w:tc>
        <w:tc>
          <w:tcPr>
            <w:tcW w:w="10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USD</w:t>
            </w:r>
          </w:p>
        </w:tc>
        <w:tc>
          <w:tcPr>
            <w:tcW w:w="16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Directo o compartido</w:t>
            </w:r>
          </w:p>
        </w:tc>
        <w:tc>
          <w:tcPr>
            <w:tcW w:w="12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Unidad</w:t>
            </w:r>
          </w:p>
        </w:tc>
        <w:tc>
          <w:tcPr>
            <w:tcW w:w="2327"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Ambos</w:t>
            </w:r>
          </w:p>
        </w:tc>
      </w:tr>
    </w:tbl>
    <w:p>
      <w:pPr>
        <w:pStyle w:val="Normal"/>
        <w:spacing w:before="0" w:after="180"/>
        <w:rPr/>
      </w:pPr>
      <w:r>
        <w:rPr/>
      </w:r>
    </w:p>
    <w:p>
      <w:pPr>
        <w:pStyle w:val="Heading2"/>
        <w:rPr/>
      </w:pPr>
      <w:r>
        <w:rPr/>
        <w:t>7.2 Tránsito internacional</w:t>
      </w:r>
    </w:p>
    <w:tbl>
      <w:tblPr>
        <w:tblW w:w="9026" w:type="dxa"/>
        <w:jc w:val="left"/>
        <w:tblInd w:w="0" w:type="dxa"/>
        <w:tblLayout w:type="fixed"/>
        <w:tblCellMar>
          <w:top w:w="100" w:type="dxa"/>
          <w:left w:w="140" w:type="dxa"/>
          <w:bottom w:w="100" w:type="dxa"/>
          <w:right w:w="140" w:type="dxa"/>
        </w:tblCellMar>
        <w:tblLook w:val="0000" w:noHBand="0" w:noVBand="0" w:firstColumn="0" w:lastRow="0" w:lastColumn="0" w:firstRow="0"/>
      </w:tblPr>
      <w:tblGrid>
        <w:gridCol w:w="2799"/>
        <w:gridCol w:w="1000"/>
        <w:gridCol w:w="1601"/>
        <w:gridCol w:w="1299"/>
        <w:gridCol w:w="2327"/>
      </w:tblGrid>
      <w:tr>
        <w:trPr>
          <w:tblHeader w:val="true"/>
        </w:trPr>
        <w:tc>
          <w:tcPr>
            <w:tcW w:w="2799"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Concepto</w:t>
            </w:r>
          </w:p>
        </w:tc>
        <w:tc>
          <w:tcPr>
            <w:tcW w:w="1000"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Moneda</w:t>
            </w:r>
          </w:p>
        </w:tc>
        <w:tc>
          <w:tcPr>
            <w:tcW w:w="1601"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Imputación</w:t>
            </w:r>
          </w:p>
        </w:tc>
        <w:tc>
          <w:tcPr>
            <w:tcW w:w="1299"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Prorrateo</w:t>
            </w:r>
          </w:p>
        </w:tc>
        <w:tc>
          <w:tcPr>
            <w:tcW w:w="2327"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Aplica a</w:t>
            </w:r>
          </w:p>
        </w:tc>
      </w:tr>
      <w:tr>
        <w:trPr/>
        <w:tc>
          <w:tcPr>
            <w:tcW w:w="27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Flete marítimo</w:t>
            </w:r>
          </w:p>
        </w:tc>
        <w:tc>
          <w:tcPr>
            <w:tcW w:w="10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USD</w:t>
            </w:r>
          </w:p>
        </w:tc>
        <w:tc>
          <w:tcPr>
            <w:tcW w:w="16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Compartido</w:t>
            </w:r>
          </w:p>
        </w:tc>
        <w:tc>
          <w:tcPr>
            <w:tcW w:w="12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CBM / Unidad</w:t>
            </w:r>
          </w:p>
        </w:tc>
        <w:tc>
          <w:tcPr>
            <w:tcW w:w="2327"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Ambos</w:t>
            </w:r>
          </w:p>
        </w:tc>
      </w:tr>
      <w:tr>
        <w:trPr/>
        <w:tc>
          <w:tcPr>
            <w:tcW w:w="27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Seguro internacional</w:t>
            </w:r>
          </w:p>
        </w:tc>
        <w:tc>
          <w:tcPr>
            <w:tcW w:w="10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USD</w:t>
            </w:r>
          </w:p>
        </w:tc>
        <w:tc>
          <w:tcPr>
            <w:tcW w:w="16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Compartido</w:t>
            </w:r>
          </w:p>
        </w:tc>
        <w:tc>
          <w:tcPr>
            <w:tcW w:w="12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FOB</w:t>
            </w:r>
          </w:p>
        </w:tc>
        <w:tc>
          <w:tcPr>
            <w:tcW w:w="2327"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Ambos</w:t>
            </w:r>
          </w:p>
        </w:tc>
      </w:tr>
      <w:tr>
        <w:trPr/>
        <w:tc>
          <w:tcPr>
            <w:tcW w:w="27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Recargo bunker / BAF</w:t>
            </w:r>
          </w:p>
        </w:tc>
        <w:tc>
          <w:tcPr>
            <w:tcW w:w="10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USD</w:t>
            </w:r>
          </w:p>
        </w:tc>
        <w:tc>
          <w:tcPr>
            <w:tcW w:w="16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Compartido</w:t>
            </w:r>
          </w:p>
        </w:tc>
        <w:tc>
          <w:tcPr>
            <w:tcW w:w="12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CBM</w:t>
            </w:r>
          </w:p>
        </w:tc>
        <w:tc>
          <w:tcPr>
            <w:tcW w:w="2327"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Ambos</w:t>
            </w:r>
          </w:p>
        </w:tc>
      </w:tr>
      <w:tr>
        <w:trPr/>
        <w:tc>
          <w:tcPr>
            <w:tcW w:w="27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Recargo por moneda / CAF</w:t>
            </w:r>
          </w:p>
        </w:tc>
        <w:tc>
          <w:tcPr>
            <w:tcW w:w="10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USD</w:t>
            </w:r>
          </w:p>
        </w:tc>
        <w:tc>
          <w:tcPr>
            <w:tcW w:w="16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Compartido</w:t>
            </w:r>
          </w:p>
        </w:tc>
        <w:tc>
          <w:tcPr>
            <w:tcW w:w="12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FOB</w:t>
            </w:r>
          </w:p>
        </w:tc>
        <w:tc>
          <w:tcPr>
            <w:tcW w:w="2327"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Ambos</w:t>
            </w:r>
          </w:p>
        </w:tc>
      </w:tr>
      <w:tr>
        <w:trPr/>
        <w:tc>
          <w:tcPr>
            <w:tcW w:w="27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THC destino (terminal handling)</w:t>
            </w:r>
          </w:p>
        </w:tc>
        <w:tc>
          <w:tcPr>
            <w:tcW w:w="10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USD</w:t>
            </w:r>
          </w:p>
        </w:tc>
        <w:tc>
          <w:tcPr>
            <w:tcW w:w="16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Compartido</w:t>
            </w:r>
          </w:p>
        </w:tc>
        <w:tc>
          <w:tcPr>
            <w:tcW w:w="12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CBM</w:t>
            </w:r>
          </w:p>
        </w:tc>
        <w:tc>
          <w:tcPr>
            <w:tcW w:w="2327"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Ambos</w:t>
            </w:r>
          </w:p>
        </w:tc>
      </w:tr>
    </w:tbl>
    <w:p>
      <w:pPr>
        <w:pStyle w:val="Normal"/>
        <w:spacing w:before="0" w:after="180"/>
        <w:rPr/>
      </w:pPr>
      <w:r>
        <w:rPr/>
      </w:r>
    </w:p>
    <w:p>
      <w:pPr>
        <w:pStyle w:val="Heading2"/>
        <w:rPr/>
      </w:pPr>
      <w:r>
        <w:rPr/>
        <w:t>7.3 Despacho aduanero y tributos en destino</w:t>
      </w:r>
    </w:p>
    <w:tbl>
      <w:tblPr>
        <w:tblW w:w="9026" w:type="dxa"/>
        <w:jc w:val="left"/>
        <w:tblInd w:w="0" w:type="dxa"/>
        <w:tblLayout w:type="fixed"/>
        <w:tblCellMar>
          <w:top w:w="100" w:type="dxa"/>
          <w:left w:w="140" w:type="dxa"/>
          <w:bottom w:w="100" w:type="dxa"/>
          <w:right w:w="140" w:type="dxa"/>
        </w:tblCellMar>
        <w:tblLook w:val="0000" w:noHBand="0" w:noVBand="0" w:firstColumn="0" w:lastRow="0" w:lastColumn="0" w:firstRow="0"/>
      </w:tblPr>
      <w:tblGrid>
        <w:gridCol w:w="2799"/>
        <w:gridCol w:w="1000"/>
        <w:gridCol w:w="1601"/>
        <w:gridCol w:w="1299"/>
        <w:gridCol w:w="2327"/>
      </w:tblGrid>
      <w:tr>
        <w:trPr>
          <w:tblHeader w:val="true"/>
        </w:trPr>
        <w:tc>
          <w:tcPr>
            <w:tcW w:w="2799"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Concepto</w:t>
            </w:r>
          </w:p>
        </w:tc>
        <w:tc>
          <w:tcPr>
            <w:tcW w:w="1000"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Moneda</w:t>
            </w:r>
          </w:p>
        </w:tc>
        <w:tc>
          <w:tcPr>
            <w:tcW w:w="1601"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Imputación</w:t>
            </w:r>
          </w:p>
        </w:tc>
        <w:tc>
          <w:tcPr>
            <w:tcW w:w="1299"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Prorrateo</w:t>
            </w:r>
          </w:p>
        </w:tc>
        <w:tc>
          <w:tcPr>
            <w:tcW w:w="2327"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Aplica a</w:t>
            </w:r>
          </w:p>
        </w:tc>
      </w:tr>
      <w:tr>
        <w:trPr/>
        <w:tc>
          <w:tcPr>
            <w:tcW w:w="27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Arancel de importación</w:t>
            </w:r>
          </w:p>
        </w:tc>
        <w:tc>
          <w:tcPr>
            <w:tcW w:w="10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Gs.</w:t>
            </w:r>
          </w:p>
        </w:tc>
        <w:tc>
          <w:tcPr>
            <w:tcW w:w="16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Se calcula por ítem (NCM)</w:t>
            </w:r>
          </w:p>
        </w:tc>
        <w:tc>
          <w:tcPr>
            <w:tcW w:w="12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Directo NCM</w:t>
            </w:r>
          </w:p>
        </w:tc>
        <w:tc>
          <w:tcPr>
            <w:tcW w:w="2327"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Ambos</w:t>
            </w:r>
          </w:p>
        </w:tc>
      </w:tr>
      <w:tr>
        <w:trPr/>
        <w:tc>
          <w:tcPr>
            <w:tcW w:w="27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IVA importación (10% / 5%)</w:t>
            </w:r>
          </w:p>
        </w:tc>
        <w:tc>
          <w:tcPr>
            <w:tcW w:w="10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Gs.</w:t>
            </w:r>
          </w:p>
        </w:tc>
        <w:tc>
          <w:tcPr>
            <w:tcW w:w="16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Se calcula por ítem</w:t>
            </w:r>
          </w:p>
        </w:tc>
        <w:tc>
          <w:tcPr>
            <w:tcW w:w="12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Directo</w:t>
            </w:r>
          </w:p>
        </w:tc>
        <w:tc>
          <w:tcPr>
            <w:tcW w:w="2327"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Ambos</w:t>
            </w:r>
          </w:p>
        </w:tc>
      </w:tr>
      <w:tr>
        <w:trPr/>
        <w:tc>
          <w:tcPr>
            <w:tcW w:w="27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ISC (Impuesto Selectivo al Consumo)</w:t>
            </w:r>
          </w:p>
        </w:tc>
        <w:tc>
          <w:tcPr>
            <w:tcW w:w="10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Gs.</w:t>
            </w:r>
          </w:p>
        </w:tc>
        <w:tc>
          <w:tcPr>
            <w:tcW w:w="16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Por ítem (NCM/año/cc)</w:t>
            </w:r>
          </w:p>
        </w:tc>
        <w:tc>
          <w:tcPr>
            <w:tcW w:w="12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Directo</w:t>
            </w:r>
          </w:p>
        </w:tc>
        <w:tc>
          <w:tcPr>
            <w:tcW w:w="2327"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Autos y algunos SKUs</w:t>
            </w:r>
          </w:p>
        </w:tc>
      </w:tr>
      <w:tr>
        <w:trPr/>
        <w:tc>
          <w:tcPr>
            <w:tcW w:w="27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INC (Instituto Nac. Cooperativismo)</w:t>
            </w:r>
          </w:p>
        </w:tc>
        <w:tc>
          <w:tcPr>
            <w:tcW w:w="10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Gs.</w:t>
            </w:r>
          </w:p>
        </w:tc>
        <w:tc>
          <w:tcPr>
            <w:tcW w:w="16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Compartido del despacho</w:t>
            </w:r>
          </w:p>
        </w:tc>
        <w:tc>
          <w:tcPr>
            <w:tcW w:w="12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FOB</w:t>
            </w:r>
          </w:p>
        </w:tc>
        <w:tc>
          <w:tcPr>
            <w:tcW w:w="2327"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Ambos</w:t>
            </w:r>
          </w:p>
        </w:tc>
      </w:tr>
      <w:tr>
        <w:trPr/>
        <w:tc>
          <w:tcPr>
            <w:tcW w:w="27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Anticipo IRE</w:t>
            </w:r>
          </w:p>
        </w:tc>
        <w:tc>
          <w:tcPr>
            <w:tcW w:w="10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Gs.</w:t>
            </w:r>
          </w:p>
        </w:tc>
        <w:tc>
          <w:tcPr>
            <w:tcW w:w="16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Compartido del despacho</w:t>
            </w:r>
          </w:p>
        </w:tc>
        <w:tc>
          <w:tcPr>
            <w:tcW w:w="12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FOB</w:t>
            </w:r>
          </w:p>
        </w:tc>
        <w:tc>
          <w:tcPr>
            <w:tcW w:w="2327"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Ambos</w:t>
            </w:r>
          </w:p>
        </w:tc>
      </w:tr>
      <w:tr>
        <w:trPr/>
        <w:tc>
          <w:tcPr>
            <w:tcW w:w="27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Tasa ANA / tasa consular</w:t>
            </w:r>
          </w:p>
        </w:tc>
        <w:tc>
          <w:tcPr>
            <w:tcW w:w="10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Gs.</w:t>
            </w:r>
          </w:p>
        </w:tc>
        <w:tc>
          <w:tcPr>
            <w:tcW w:w="16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Compartido</w:t>
            </w:r>
          </w:p>
        </w:tc>
        <w:tc>
          <w:tcPr>
            <w:tcW w:w="12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Igual o FOB</w:t>
            </w:r>
          </w:p>
        </w:tc>
        <w:tc>
          <w:tcPr>
            <w:tcW w:w="2327"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Ambos</w:t>
            </w:r>
          </w:p>
        </w:tc>
      </w:tr>
      <w:tr>
        <w:trPr/>
        <w:tc>
          <w:tcPr>
            <w:tcW w:w="27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Honorarios despachante</w:t>
            </w:r>
          </w:p>
        </w:tc>
        <w:tc>
          <w:tcPr>
            <w:tcW w:w="10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Gs.</w:t>
            </w:r>
          </w:p>
        </w:tc>
        <w:tc>
          <w:tcPr>
            <w:tcW w:w="16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Compartido del embarque</w:t>
            </w:r>
          </w:p>
        </w:tc>
        <w:tc>
          <w:tcPr>
            <w:tcW w:w="12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FOB / Embarque</w:t>
            </w:r>
          </w:p>
        </w:tc>
        <w:tc>
          <w:tcPr>
            <w:tcW w:w="2327"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Ambos</w:t>
            </w:r>
          </w:p>
        </w:tc>
      </w:tr>
      <w:tr>
        <w:trPr/>
        <w:tc>
          <w:tcPr>
            <w:tcW w:w="27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Gastos de manifiesto / DTA / MIC</w:t>
            </w:r>
          </w:p>
        </w:tc>
        <w:tc>
          <w:tcPr>
            <w:tcW w:w="10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Gs.</w:t>
            </w:r>
          </w:p>
        </w:tc>
        <w:tc>
          <w:tcPr>
            <w:tcW w:w="16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Compartido</w:t>
            </w:r>
          </w:p>
        </w:tc>
        <w:tc>
          <w:tcPr>
            <w:tcW w:w="12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FOB</w:t>
            </w:r>
          </w:p>
        </w:tc>
        <w:tc>
          <w:tcPr>
            <w:tcW w:w="2327"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Ambos</w:t>
            </w:r>
          </w:p>
        </w:tc>
      </w:tr>
      <w:tr>
        <w:trPr/>
        <w:tc>
          <w:tcPr>
            <w:tcW w:w="27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Tasa de almacén fiscal</w:t>
            </w:r>
          </w:p>
        </w:tc>
        <w:tc>
          <w:tcPr>
            <w:tcW w:w="10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Gs.</w:t>
            </w:r>
          </w:p>
        </w:tc>
        <w:tc>
          <w:tcPr>
            <w:tcW w:w="16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Compartido o por ítem</w:t>
            </w:r>
          </w:p>
        </w:tc>
        <w:tc>
          <w:tcPr>
            <w:tcW w:w="12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CBM / Día</w:t>
            </w:r>
          </w:p>
        </w:tc>
        <w:tc>
          <w:tcPr>
            <w:tcW w:w="2327"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Ambos</w:t>
            </w:r>
          </w:p>
        </w:tc>
      </w:tr>
    </w:tbl>
    <w:p>
      <w:pPr>
        <w:pStyle w:val="Normal"/>
        <w:spacing w:before="0" w:after="180"/>
        <w:rPr/>
      </w:pPr>
      <w:r>
        <w:rPr/>
      </w:r>
    </w:p>
    <w:p>
      <w:pPr>
        <w:pStyle w:val="Heading2"/>
        <w:rPr/>
      </w:pPr>
      <w:r>
        <w:rPr/>
        <w:t>7.4 Logística interna y gastos varios</w:t>
      </w:r>
    </w:p>
    <w:tbl>
      <w:tblPr>
        <w:tblW w:w="9026" w:type="dxa"/>
        <w:jc w:val="left"/>
        <w:tblInd w:w="0" w:type="dxa"/>
        <w:tblLayout w:type="fixed"/>
        <w:tblCellMar>
          <w:top w:w="100" w:type="dxa"/>
          <w:left w:w="140" w:type="dxa"/>
          <w:bottom w:w="100" w:type="dxa"/>
          <w:right w:w="140" w:type="dxa"/>
        </w:tblCellMar>
        <w:tblLook w:val="0000" w:noHBand="0" w:noVBand="0" w:firstColumn="0" w:lastRow="0" w:lastColumn="0" w:firstRow="0"/>
      </w:tblPr>
      <w:tblGrid>
        <w:gridCol w:w="2799"/>
        <w:gridCol w:w="1000"/>
        <w:gridCol w:w="1601"/>
        <w:gridCol w:w="1299"/>
        <w:gridCol w:w="2327"/>
      </w:tblGrid>
      <w:tr>
        <w:trPr>
          <w:tblHeader w:val="true"/>
        </w:trPr>
        <w:tc>
          <w:tcPr>
            <w:tcW w:w="2799"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Concepto</w:t>
            </w:r>
          </w:p>
        </w:tc>
        <w:tc>
          <w:tcPr>
            <w:tcW w:w="1000"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Moneda</w:t>
            </w:r>
          </w:p>
        </w:tc>
        <w:tc>
          <w:tcPr>
            <w:tcW w:w="1601"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Imputación</w:t>
            </w:r>
          </w:p>
        </w:tc>
        <w:tc>
          <w:tcPr>
            <w:tcW w:w="1299"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Prorrateo</w:t>
            </w:r>
          </w:p>
        </w:tc>
        <w:tc>
          <w:tcPr>
            <w:tcW w:w="2327"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Aplica a</w:t>
            </w:r>
          </w:p>
        </w:tc>
      </w:tr>
      <w:tr>
        <w:trPr/>
        <w:tc>
          <w:tcPr>
            <w:tcW w:w="27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Transporte puerto → depósito</w:t>
            </w:r>
          </w:p>
        </w:tc>
        <w:tc>
          <w:tcPr>
            <w:tcW w:w="10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Gs.</w:t>
            </w:r>
          </w:p>
        </w:tc>
        <w:tc>
          <w:tcPr>
            <w:tcW w:w="16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Compartido</w:t>
            </w:r>
          </w:p>
        </w:tc>
        <w:tc>
          <w:tcPr>
            <w:tcW w:w="12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Unidad / CBM</w:t>
            </w:r>
          </w:p>
        </w:tc>
        <w:tc>
          <w:tcPr>
            <w:tcW w:w="2327"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Ambos</w:t>
            </w:r>
          </w:p>
        </w:tc>
      </w:tr>
      <w:tr>
        <w:trPr/>
        <w:tc>
          <w:tcPr>
            <w:tcW w:w="27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Descarga y estibaje</w:t>
            </w:r>
          </w:p>
        </w:tc>
        <w:tc>
          <w:tcPr>
            <w:tcW w:w="10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Gs.</w:t>
            </w:r>
          </w:p>
        </w:tc>
        <w:tc>
          <w:tcPr>
            <w:tcW w:w="16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Compartido</w:t>
            </w:r>
          </w:p>
        </w:tc>
        <w:tc>
          <w:tcPr>
            <w:tcW w:w="12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Unidad / CBM</w:t>
            </w:r>
          </w:p>
        </w:tc>
        <w:tc>
          <w:tcPr>
            <w:tcW w:w="2327"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Ambos</w:t>
            </w:r>
          </w:p>
        </w:tc>
      </w:tr>
      <w:tr>
        <w:trPr/>
        <w:tc>
          <w:tcPr>
            <w:tcW w:w="27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Traslado entre depósitos</w:t>
            </w:r>
          </w:p>
        </w:tc>
        <w:tc>
          <w:tcPr>
            <w:tcW w:w="10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Gs.</w:t>
            </w:r>
          </w:p>
        </w:tc>
        <w:tc>
          <w:tcPr>
            <w:tcW w:w="16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Compartido</w:t>
            </w:r>
          </w:p>
        </w:tc>
        <w:tc>
          <w:tcPr>
            <w:tcW w:w="12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Unidad</w:t>
            </w:r>
          </w:p>
        </w:tc>
        <w:tc>
          <w:tcPr>
            <w:tcW w:w="2327"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Ambos</w:t>
            </w:r>
          </w:p>
        </w:tc>
      </w:tr>
      <w:tr>
        <w:trPr/>
        <w:tc>
          <w:tcPr>
            <w:tcW w:w="27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Seguro local</w:t>
            </w:r>
          </w:p>
        </w:tc>
        <w:tc>
          <w:tcPr>
            <w:tcW w:w="10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Gs.</w:t>
            </w:r>
          </w:p>
        </w:tc>
        <w:tc>
          <w:tcPr>
            <w:tcW w:w="16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Compartido</w:t>
            </w:r>
          </w:p>
        </w:tc>
        <w:tc>
          <w:tcPr>
            <w:tcW w:w="12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FOB</w:t>
            </w:r>
          </w:p>
        </w:tc>
        <w:tc>
          <w:tcPr>
            <w:tcW w:w="2327"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Ambos</w:t>
            </w:r>
          </w:p>
        </w:tc>
      </w:tr>
      <w:tr>
        <w:trPr/>
        <w:tc>
          <w:tcPr>
            <w:tcW w:w="27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Gastos bancarios / transferencia internacional</w:t>
            </w:r>
          </w:p>
        </w:tc>
        <w:tc>
          <w:tcPr>
            <w:tcW w:w="10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Gs.</w:t>
            </w:r>
          </w:p>
        </w:tc>
        <w:tc>
          <w:tcPr>
            <w:tcW w:w="16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Compartido</w:t>
            </w:r>
          </w:p>
        </w:tc>
        <w:tc>
          <w:tcPr>
            <w:tcW w:w="12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FOB</w:t>
            </w:r>
          </w:p>
        </w:tc>
        <w:tc>
          <w:tcPr>
            <w:tcW w:w="2327"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Ambos</w:t>
            </w:r>
          </w:p>
        </w:tc>
      </w:tr>
      <w:tr>
        <w:trPr/>
        <w:tc>
          <w:tcPr>
            <w:tcW w:w="27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Diferencia de cambio al pago</w:t>
            </w:r>
          </w:p>
        </w:tc>
        <w:tc>
          <w:tcPr>
            <w:tcW w:w="10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Gs.</w:t>
            </w:r>
          </w:p>
        </w:tc>
        <w:tc>
          <w:tcPr>
            <w:tcW w:w="16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Compartido</w:t>
            </w:r>
          </w:p>
        </w:tc>
        <w:tc>
          <w:tcPr>
            <w:tcW w:w="12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FOB</w:t>
            </w:r>
          </w:p>
        </w:tc>
        <w:tc>
          <w:tcPr>
            <w:tcW w:w="2327"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Ambos</w:t>
            </w:r>
          </w:p>
        </w:tc>
      </w:tr>
      <w:tr>
        <w:trPr/>
        <w:tc>
          <w:tcPr>
            <w:tcW w:w="27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Gastos extras de gestión y agilización de trámites</w:t>
            </w:r>
          </w:p>
        </w:tc>
        <w:tc>
          <w:tcPr>
            <w:tcW w:w="10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Gs.</w:t>
            </w:r>
          </w:p>
        </w:tc>
        <w:tc>
          <w:tcPr>
            <w:tcW w:w="16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Compartido del embarque</w:t>
            </w:r>
          </w:p>
        </w:tc>
        <w:tc>
          <w:tcPr>
            <w:tcW w:w="12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FOB / Embarque</w:t>
            </w:r>
          </w:p>
        </w:tc>
        <w:tc>
          <w:tcPr>
            <w:tcW w:w="2327"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Ambos</w:t>
            </w:r>
          </w:p>
        </w:tc>
      </w:tr>
      <w:tr>
        <w:trPr/>
        <w:tc>
          <w:tcPr>
            <w:tcW w:w="27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Otros gastos operativos</w:t>
            </w:r>
          </w:p>
        </w:tc>
        <w:tc>
          <w:tcPr>
            <w:tcW w:w="10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Gs.</w:t>
            </w:r>
          </w:p>
        </w:tc>
        <w:tc>
          <w:tcPr>
            <w:tcW w:w="16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Compartido</w:t>
            </w:r>
          </w:p>
        </w:tc>
        <w:tc>
          <w:tcPr>
            <w:tcW w:w="12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FOB / Embarque</w:t>
            </w:r>
          </w:p>
        </w:tc>
        <w:tc>
          <w:tcPr>
            <w:tcW w:w="2327"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Ambos</w:t>
            </w:r>
          </w:p>
        </w:tc>
      </w:tr>
    </w:tbl>
    <w:p>
      <w:pPr>
        <w:pStyle w:val="Normal"/>
        <w:spacing w:before="0" w:after="160"/>
        <w:rPr/>
      </w:pPr>
      <w:r>
        <w:rPr/>
      </w:r>
    </w:p>
    <w:tbl>
      <w:tblPr>
        <w:tblW w:w="9026" w:type="dxa"/>
        <w:jc w:val="left"/>
        <w:tblInd w:w="0" w:type="dxa"/>
        <w:tblLayout w:type="fixed"/>
        <w:tblCellMar>
          <w:top w:w="200" w:type="dxa"/>
          <w:left w:w="280" w:type="dxa"/>
          <w:bottom w:w="200" w:type="dxa"/>
          <w:right w:w="280" w:type="dxa"/>
        </w:tblCellMar>
        <w:tblLook w:val="0000" w:noHBand="0" w:noVBand="0" w:firstColumn="0" w:lastRow="0" w:lastColumn="0" w:firstRow="0"/>
      </w:tblPr>
      <w:tblGrid>
        <w:gridCol w:w="9026"/>
      </w:tblGrid>
      <w:tr>
        <w:trPr/>
        <w:tc>
          <w:tcPr>
            <w:tcW w:w="9026" w:type="dxa"/>
            <w:tcBorders>
              <w:top w:val="single" w:sz="12" w:space="0" w:color="B8892A"/>
              <w:left w:val="single" w:sz="24" w:space="0" w:color="B8892A"/>
              <w:bottom w:val="single" w:sz="4" w:space="0" w:color="CFCABE"/>
              <w:right w:val="single" w:sz="4" w:space="0" w:color="CFCABE"/>
            </w:tcBorders>
            <w:shd w:color="auto" w:fill="F7F2E8" w:val="clear"/>
          </w:tcPr>
          <w:p>
            <w:pPr>
              <w:pStyle w:val="Normal"/>
              <w:spacing w:before="0" w:after="80"/>
              <w:rPr/>
            </w:pPr>
            <w:r>
              <w:rPr>
                <w:b/>
                <w:bCs/>
                <w:color w:val="B8892A"/>
                <w:spacing w:val="30"/>
                <w:sz w:val="18"/>
                <w:szCs w:val="18"/>
              </w:rPr>
              <w:t>NOTA SOBRE "GASTOS EXTRAS DE GESTIÓN"</w:t>
            </w:r>
          </w:p>
          <w:p>
            <w:pPr>
              <w:pStyle w:val="Normal"/>
              <w:rPr/>
            </w:pPr>
            <w:r>
              <w:rPr>
                <w:color w:val="0B1F3A"/>
              </w:rPr>
              <w:t>Se trata de un concepto genérico para capturar desembolsos informales de aceleración de trámites que hoy viven fuera del ERP. Se imputa como gasto del embarque sin detalle de contraparte ni persona. Queda auditado internamente con quién autorizó el pago, pero el asiento contable se envía a una cuenta de gastos operativos varios. No se genera comprobante fiscal.</w:t>
            </w:r>
          </w:p>
        </w:tc>
      </w:tr>
    </w:tbl>
    <w:p>
      <w:pPr>
        <w:pStyle w:val="Heading1"/>
        <w:rPr/>
      </w:pPr>
      <w:r>
        <w:br w:type="page"/>
      </w:r>
      <w:r>
        <w:rPr/>
        <w:t>8. Algoritmo de costeo unitario</w:t>
      </w:r>
    </w:p>
    <w:p>
      <w:pPr>
        <w:pStyle w:val="Heading2"/>
        <w:rPr/>
      </w:pPr>
      <w:r>
        <w:rPr/>
        <w:t>8.1 Definiciones</w:t>
      </w:r>
    </w:p>
    <w:p>
      <w:pPr>
        <w:pStyle w:val="ListParagraph"/>
        <w:numPr>
          <w:ilvl w:val="0"/>
          <w:numId w:val="1"/>
        </w:numPr>
        <w:spacing w:before="0" w:after="60"/>
        <w:rPr/>
      </w:pPr>
      <w:r>
        <w:rPr/>
        <w:t>Costo directo (Cd_i): la suma de componentes imputados exclusivamente al ítem i.</w:t>
      </w:r>
    </w:p>
    <w:p>
      <w:pPr>
        <w:pStyle w:val="ListParagraph"/>
        <w:numPr>
          <w:ilvl w:val="0"/>
          <w:numId w:val="1"/>
        </w:numPr>
        <w:spacing w:before="0" w:after="60"/>
        <w:rPr/>
      </w:pPr>
      <w:r>
        <w:rPr/>
        <w:t>Costo compartido (Cs): la suma de componentes imputados al embarque completo.</w:t>
      </w:r>
    </w:p>
    <w:p>
      <w:pPr>
        <w:pStyle w:val="ListParagraph"/>
        <w:numPr>
          <w:ilvl w:val="0"/>
          <w:numId w:val="1"/>
        </w:numPr>
        <w:spacing w:before="0" w:after="60"/>
        <w:rPr/>
      </w:pPr>
      <w:r>
        <w:rPr/>
        <w:t>Base de prorrateo (B_i): valor del ítem i según el criterio elegido (FOB, peso, CBM, unidad).</w:t>
      </w:r>
    </w:p>
    <w:p>
      <w:pPr>
        <w:pStyle w:val="ListParagraph"/>
        <w:numPr>
          <w:ilvl w:val="0"/>
          <w:numId w:val="1"/>
        </w:numPr>
        <w:spacing w:before="0" w:after="60"/>
        <w:rPr/>
      </w:pPr>
      <w:r>
        <w:rPr/>
        <w:t>Factor de prorrateo por ítem (f_i): B_i / ΣB.</w:t>
      </w:r>
    </w:p>
    <w:p>
      <w:pPr>
        <w:pStyle w:val="ListParagraph"/>
        <w:numPr>
          <w:ilvl w:val="0"/>
          <w:numId w:val="1"/>
        </w:numPr>
        <w:spacing w:before="0" w:after="60"/>
        <w:rPr/>
      </w:pPr>
      <w:r>
        <w:rPr/>
        <w:t>Cotización (TC): tipo de cambio USD→Gs. de la fecha del componente (o cotización de cierre si está sellada).</w:t>
      </w:r>
    </w:p>
    <w:p>
      <w:pPr>
        <w:pStyle w:val="Heading2"/>
        <w:rPr/>
      </w:pPr>
      <w:r>
        <w:rPr/>
        <w:t>8.2 Fórmula</w:t>
      </w:r>
    </w:p>
    <w:p>
      <w:pPr>
        <w:pStyle w:val="Normal"/>
        <w:spacing w:before="0" w:after="120"/>
        <w:jc w:val="both"/>
        <w:rPr/>
      </w:pPr>
      <w:r>
        <w:rPr>
          <w:i/>
          <w:iCs/>
        </w:rPr>
        <w:t>Para cada ítem i del embarque, el costo unitario en guaraníes es:</w:t>
      </w:r>
    </w:p>
    <w:p>
      <w:pPr>
        <w:pStyle w:val="Normal"/>
        <w:spacing w:before="120" w:after="120"/>
        <w:jc w:val="center"/>
        <w:rPr>
          <w:lang w:val="en-US"/>
        </w:rPr>
      </w:pPr>
      <w:r>
        <w:rPr>
          <w:rFonts w:eastAsia="Consolas" w:cs="Consolas" w:ascii="Consolas" w:hAnsi="Consolas"/>
          <w:b/>
          <w:bCs/>
          <w:color w:val="0B1F3A"/>
          <w:sz w:val="24"/>
          <w:szCs w:val="24"/>
          <w:lang w:val="en-US"/>
        </w:rPr>
        <w:t xml:space="preserve">Cu_i [Gs.] = ( Cd_i × TC_d ) + </w:t>
      </w:r>
      <w:r>
        <w:rPr>
          <w:rFonts w:eastAsia="Consolas" w:cs="Consolas" w:ascii="Consolas" w:hAnsi="Consolas"/>
          <w:b/>
          <w:bCs/>
          <w:color w:val="0B1F3A"/>
          <w:sz w:val="24"/>
          <w:szCs w:val="24"/>
        </w:rPr>
        <w:t>Σ</w:t>
      </w:r>
      <w:r>
        <w:rPr>
          <w:rFonts w:eastAsia="Consolas" w:cs="Consolas" w:ascii="Consolas" w:hAnsi="Consolas"/>
          <w:b/>
          <w:bCs/>
          <w:color w:val="0B1F3A"/>
          <w:sz w:val="24"/>
          <w:szCs w:val="24"/>
          <w:lang w:val="en-US"/>
        </w:rPr>
        <w:t xml:space="preserve"> ( Cs_k × TC_k × f_i )</w:t>
      </w:r>
    </w:p>
    <w:p>
      <w:pPr>
        <w:pStyle w:val="Normal"/>
        <w:spacing w:before="0" w:after="120"/>
        <w:jc w:val="both"/>
        <w:rPr/>
      </w:pPr>
      <w:r>
        <w:rPr/>
        <w:t>Donde cada componente compartido Cs_k puede tener su propio criterio de prorrateo (f_i varía según el criterio: por FOB, peso, CBM o cantidad). El sistema recorre componente por componente y aplica el criterio declarado en el maestro de conceptos, que el usuario puede sobrescribir en la línea.</w:t>
      </w:r>
    </w:p>
    <w:p>
      <w:pPr>
        <w:pStyle w:val="Heading2"/>
        <w:rPr/>
      </w:pPr>
      <w:r>
        <w:rPr/>
        <w:t>8.3 Ejemplo numérico — embarque consumo masivo</w:t>
      </w:r>
    </w:p>
    <w:p>
      <w:pPr>
        <w:pStyle w:val="Normal"/>
        <w:spacing w:before="0" w:after="120"/>
        <w:jc w:val="both"/>
        <w:rPr/>
      </w:pPr>
      <w:r>
        <w:rPr/>
        <w:t>Embarque de 3 SKUs desde Shanghai en un contenedor 40' HQ. Cotización del día: 7.300 Gs./USD.</w:t>
      </w:r>
    </w:p>
    <w:tbl>
      <w:tblPr>
        <w:tblW w:w="9026" w:type="dxa"/>
        <w:jc w:val="left"/>
        <w:tblInd w:w="0" w:type="dxa"/>
        <w:tblLayout w:type="fixed"/>
        <w:tblCellMar>
          <w:top w:w="100" w:type="dxa"/>
          <w:left w:w="140" w:type="dxa"/>
          <w:bottom w:w="100" w:type="dxa"/>
          <w:right w:w="140" w:type="dxa"/>
        </w:tblCellMar>
        <w:tblLook w:val="0000" w:noHBand="0" w:noVBand="0" w:firstColumn="0" w:lastRow="0" w:lastColumn="0" w:firstRow="0"/>
      </w:tblPr>
      <w:tblGrid>
        <w:gridCol w:w="1399"/>
        <w:gridCol w:w="1601"/>
        <w:gridCol w:w="1000"/>
        <w:gridCol w:w="1699"/>
        <w:gridCol w:w="1300"/>
        <w:gridCol w:w="2026"/>
      </w:tblGrid>
      <w:tr>
        <w:trPr>
          <w:tblHeader w:val="true"/>
        </w:trPr>
        <w:tc>
          <w:tcPr>
            <w:tcW w:w="1399"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SKU</w:t>
            </w:r>
          </w:p>
        </w:tc>
        <w:tc>
          <w:tcPr>
            <w:tcW w:w="1601"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FOB unit (USD)</w:t>
            </w:r>
          </w:p>
        </w:tc>
        <w:tc>
          <w:tcPr>
            <w:tcW w:w="1000"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Cant.</w:t>
            </w:r>
          </w:p>
        </w:tc>
        <w:tc>
          <w:tcPr>
            <w:tcW w:w="1699"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FOB línea (USD)</w:t>
            </w:r>
          </w:p>
        </w:tc>
        <w:tc>
          <w:tcPr>
            <w:tcW w:w="1300"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CBM total</w:t>
            </w:r>
          </w:p>
        </w:tc>
        <w:tc>
          <w:tcPr>
            <w:tcW w:w="2026"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Peso total (kg)</w:t>
            </w:r>
          </w:p>
        </w:tc>
      </w:tr>
      <w:tr>
        <w:trPr/>
        <w:tc>
          <w:tcPr>
            <w:tcW w:w="13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Linterna</w:t>
            </w:r>
          </w:p>
        </w:tc>
        <w:tc>
          <w:tcPr>
            <w:tcW w:w="16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2,50</w:t>
            </w:r>
          </w:p>
        </w:tc>
        <w:tc>
          <w:tcPr>
            <w:tcW w:w="10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1.000</w:t>
            </w:r>
          </w:p>
        </w:tc>
        <w:tc>
          <w:tcPr>
            <w:tcW w:w="16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2.500</w:t>
            </w:r>
          </w:p>
        </w:tc>
        <w:tc>
          <w:tcPr>
            <w:tcW w:w="13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2,0</w:t>
            </w:r>
          </w:p>
        </w:tc>
        <w:tc>
          <w:tcPr>
            <w:tcW w:w="2026"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400</w:t>
            </w:r>
          </w:p>
        </w:tc>
      </w:tr>
      <w:tr>
        <w:trPr/>
        <w:tc>
          <w:tcPr>
            <w:tcW w:w="13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Juego mesa</w:t>
            </w:r>
          </w:p>
        </w:tc>
        <w:tc>
          <w:tcPr>
            <w:tcW w:w="16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12,00</w:t>
            </w:r>
          </w:p>
        </w:tc>
        <w:tc>
          <w:tcPr>
            <w:tcW w:w="10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200</w:t>
            </w:r>
          </w:p>
        </w:tc>
        <w:tc>
          <w:tcPr>
            <w:tcW w:w="16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2.400</w:t>
            </w:r>
          </w:p>
        </w:tc>
        <w:tc>
          <w:tcPr>
            <w:tcW w:w="13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18,0</w:t>
            </w:r>
          </w:p>
        </w:tc>
        <w:tc>
          <w:tcPr>
            <w:tcW w:w="2026"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900</w:t>
            </w:r>
          </w:p>
        </w:tc>
      </w:tr>
      <w:tr>
        <w:trPr/>
        <w:tc>
          <w:tcPr>
            <w:tcW w:w="13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Peluche 30cm</w:t>
            </w:r>
          </w:p>
        </w:tc>
        <w:tc>
          <w:tcPr>
            <w:tcW w:w="16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1,80</w:t>
            </w:r>
          </w:p>
        </w:tc>
        <w:tc>
          <w:tcPr>
            <w:tcW w:w="10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500</w:t>
            </w:r>
          </w:p>
        </w:tc>
        <w:tc>
          <w:tcPr>
            <w:tcW w:w="16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900</w:t>
            </w:r>
          </w:p>
        </w:tc>
        <w:tc>
          <w:tcPr>
            <w:tcW w:w="13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5,0</w:t>
            </w:r>
          </w:p>
        </w:tc>
        <w:tc>
          <w:tcPr>
            <w:tcW w:w="2026"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250</w:t>
            </w:r>
          </w:p>
        </w:tc>
      </w:tr>
      <w:tr>
        <w:trPr/>
        <w:tc>
          <w:tcPr>
            <w:tcW w:w="1399" w:type="dxa"/>
            <w:tcBorders>
              <w:top w:val="single" w:sz="4" w:space="0" w:color="CFCABE"/>
              <w:left w:val="single" w:sz="4" w:space="0" w:color="CFCABE"/>
              <w:bottom w:val="single" w:sz="4" w:space="0" w:color="CFCABE"/>
              <w:right w:val="single" w:sz="4" w:space="0" w:color="CFCABE"/>
            </w:tcBorders>
            <w:shd w:color="auto" w:fill="F7F2E8" w:val="clear"/>
            <w:tcMar>
              <w:top w:w="90" w:type="dxa"/>
              <w:bottom w:w="90" w:type="dxa"/>
            </w:tcMar>
            <w:vAlign w:val="center"/>
          </w:tcPr>
          <w:p>
            <w:pPr>
              <w:pStyle w:val="Normal"/>
              <w:rPr/>
            </w:pPr>
            <w:r>
              <w:rPr>
                <w:b/>
                <w:bCs/>
                <w:color w:val="0B1F3A"/>
                <w:sz w:val="20"/>
                <w:szCs w:val="20"/>
              </w:rPr>
              <w:t>Total</w:t>
            </w:r>
          </w:p>
        </w:tc>
        <w:tc>
          <w:tcPr>
            <w:tcW w:w="1601" w:type="dxa"/>
            <w:tcBorders>
              <w:top w:val="single" w:sz="4" w:space="0" w:color="CFCABE"/>
              <w:left w:val="single" w:sz="4" w:space="0" w:color="CFCABE"/>
              <w:bottom w:val="single" w:sz="4" w:space="0" w:color="CFCABE"/>
              <w:right w:val="single" w:sz="4" w:space="0" w:color="CFCABE"/>
            </w:tcBorders>
            <w:shd w:color="auto" w:fill="F7F2E8" w:val="clear"/>
            <w:tcMar>
              <w:top w:w="90" w:type="dxa"/>
              <w:bottom w:w="90" w:type="dxa"/>
            </w:tcMar>
            <w:vAlign w:val="center"/>
          </w:tcPr>
          <w:p>
            <w:pPr>
              <w:pStyle w:val="Normal"/>
              <w:rPr/>
            </w:pPr>
            <w:r>
              <w:rPr>
                <w:color w:val="0B1F3A"/>
                <w:sz w:val="20"/>
                <w:szCs w:val="20"/>
              </w:rPr>
              <w:t>—</w:t>
            </w:r>
          </w:p>
        </w:tc>
        <w:tc>
          <w:tcPr>
            <w:tcW w:w="1000" w:type="dxa"/>
            <w:tcBorders>
              <w:top w:val="single" w:sz="4" w:space="0" w:color="CFCABE"/>
              <w:left w:val="single" w:sz="4" w:space="0" w:color="CFCABE"/>
              <w:bottom w:val="single" w:sz="4" w:space="0" w:color="CFCABE"/>
              <w:right w:val="single" w:sz="4" w:space="0" w:color="CFCABE"/>
            </w:tcBorders>
            <w:shd w:color="auto" w:fill="F7F2E8" w:val="clear"/>
            <w:tcMar>
              <w:top w:w="90" w:type="dxa"/>
              <w:bottom w:w="90" w:type="dxa"/>
            </w:tcMar>
            <w:vAlign w:val="center"/>
          </w:tcPr>
          <w:p>
            <w:pPr>
              <w:pStyle w:val="Normal"/>
              <w:rPr/>
            </w:pPr>
            <w:r>
              <w:rPr>
                <w:b/>
                <w:bCs/>
                <w:color w:val="0B1F3A"/>
                <w:sz w:val="20"/>
                <w:szCs w:val="20"/>
              </w:rPr>
              <w:t>1.700</w:t>
            </w:r>
          </w:p>
        </w:tc>
        <w:tc>
          <w:tcPr>
            <w:tcW w:w="1699" w:type="dxa"/>
            <w:tcBorders>
              <w:top w:val="single" w:sz="4" w:space="0" w:color="CFCABE"/>
              <w:left w:val="single" w:sz="4" w:space="0" w:color="CFCABE"/>
              <w:bottom w:val="single" w:sz="4" w:space="0" w:color="CFCABE"/>
              <w:right w:val="single" w:sz="4" w:space="0" w:color="CFCABE"/>
            </w:tcBorders>
            <w:shd w:color="auto" w:fill="F7F2E8" w:val="clear"/>
            <w:tcMar>
              <w:top w:w="90" w:type="dxa"/>
              <w:bottom w:w="90" w:type="dxa"/>
            </w:tcMar>
            <w:vAlign w:val="center"/>
          </w:tcPr>
          <w:p>
            <w:pPr>
              <w:pStyle w:val="Normal"/>
              <w:rPr/>
            </w:pPr>
            <w:r>
              <w:rPr>
                <w:b/>
                <w:bCs/>
                <w:color w:val="0B1F3A"/>
                <w:sz w:val="20"/>
                <w:szCs w:val="20"/>
              </w:rPr>
              <w:t>5.800</w:t>
            </w:r>
          </w:p>
        </w:tc>
        <w:tc>
          <w:tcPr>
            <w:tcW w:w="1300" w:type="dxa"/>
            <w:tcBorders>
              <w:top w:val="single" w:sz="4" w:space="0" w:color="CFCABE"/>
              <w:left w:val="single" w:sz="4" w:space="0" w:color="CFCABE"/>
              <w:bottom w:val="single" w:sz="4" w:space="0" w:color="CFCABE"/>
              <w:right w:val="single" w:sz="4" w:space="0" w:color="CFCABE"/>
            </w:tcBorders>
            <w:shd w:color="auto" w:fill="F7F2E8" w:val="clear"/>
            <w:tcMar>
              <w:top w:w="90" w:type="dxa"/>
              <w:bottom w:w="90" w:type="dxa"/>
            </w:tcMar>
            <w:vAlign w:val="center"/>
          </w:tcPr>
          <w:p>
            <w:pPr>
              <w:pStyle w:val="Normal"/>
              <w:rPr/>
            </w:pPr>
            <w:r>
              <w:rPr>
                <w:b/>
                <w:bCs/>
                <w:color w:val="0B1F3A"/>
                <w:sz w:val="20"/>
                <w:szCs w:val="20"/>
              </w:rPr>
              <w:t>25,0</w:t>
            </w:r>
          </w:p>
        </w:tc>
        <w:tc>
          <w:tcPr>
            <w:tcW w:w="2026" w:type="dxa"/>
            <w:tcBorders>
              <w:top w:val="single" w:sz="4" w:space="0" w:color="CFCABE"/>
              <w:left w:val="single" w:sz="4" w:space="0" w:color="CFCABE"/>
              <w:bottom w:val="single" w:sz="4" w:space="0" w:color="CFCABE"/>
              <w:right w:val="single" w:sz="4" w:space="0" w:color="CFCABE"/>
            </w:tcBorders>
            <w:shd w:color="auto" w:fill="F7F2E8" w:val="clear"/>
            <w:tcMar>
              <w:top w:w="90" w:type="dxa"/>
              <w:bottom w:w="90" w:type="dxa"/>
            </w:tcMar>
            <w:vAlign w:val="center"/>
          </w:tcPr>
          <w:p>
            <w:pPr>
              <w:pStyle w:val="Normal"/>
              <w:rPr/>
            </w:pPr>
            <w:r>
              <w:rPr>
                <w:b/>
                <w:bCs/>
                <w:color w:val="0B1F3A"/>
                <w:sz w:val="20"/>
                <w:szCs w:val="20"/>
              </w:rPr>
              <w:t>1.550</w:t>
            </w:r>
          </w:p>
        </w:tc>
      </w:tr>
    </w:tbl>
    <w:p>
      <w:pPr>
        <w:pStyle w:val="Normal"/>
        <w:spacing w:before="0" w:after="180"/>
        <w:rPr/>
      </w:pPr>
      <w:r>
        <w:rPr/>
      </w:r>
    </w:p>
    <w:p>
      <w:pPr>
        <w:pStyle w:val="Normal"/>
        <w:spacing w:before="0" w:after="120"/>
        <w:jc w:val="both"/>
        <w:rPr/>
      </w:pPr>
      <w:r>
        <w:rPr/>
        <w:t>Componentes compartidos del embarque (ya convertidos a Gs. con la cotización del día):</w:t>
      </w:r>
    </w:p>
    <w:tbl>
      <w:tblPr>
        <w:tblW w:w="9026" w:type="dxa"/>
        <w:jc w:val="left"/>
        <w:tblInd w:w="0" w:type="dxa"/>
        <w:tblLayout w:type="fixed"/>
        <w:tblCellMar>
          <w:top w:w="100" w:type="dxa"/>
          <w:left w:w="140" w:type="dxa"/>
          <w:bottom w:w="100" w:type="dxa"/>
          <w:right w:w="140" w:type="dxa"/>
        </w:tblCellMar>
        <w:tblLook w:val="0000" w:noHBand="0" w:noVBand="0" w:firstColumn="0" w:lastRow="0" w:lastColumn="0" w:firstRow="0"/>
      </w:tblPr>
      <w:tblGrid>
        <w:gridCol w:w="3500"/>
        <w:gridCol w:w="2199"/>
        <w:gridCol w:w="1800"/>
        <w:gridCol w:w="1526"/>
      </w:tblGrid>
      <w:tr>
        <w:trPr>
          <w:tblHeader w:val="true"/>
        </w:trPr>
        <w:tc>
          <w:tcPr>
            <w:tcW w:w="3500"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Concepto</w:t>
            </w:r>
          </w:p>
        </w:tc>
        <w:tc>
          <w:tcPr>
            <w:tcW w:w="2199"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Importe (Gs.)</w:t>
            </w:r>
          </w:p>
        </w:tc>
        <w:tc>
          <w:tcPr>
            <w:tcW w:w="1800"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Criterio</w:t>
            </w:r>
          </w:p>
        </w:tc>
        <w:tc>
          <w:tcPr>
            <w:tcW w:w="1526"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Moneda origen</w:t>
            </w:r>
          </w:p>
        </w:tc>
      </w:tr>
      <w:tr>
        <w:trPr/>
        <w:tc>
          <w:tcPr>
            <w:tcW w:w="35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Flete marítimo</w:t>
            </w:r>
          </w:p>
        </w:tc>
        <w:tc>
          <w:tcPr>
            <w:tcW w:w="21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36.500.000</w:t>
            </w:r>
          </w:p>
        </w:tc>
        <w:tc>
          <w:tcPr>
            <w:tcW w:w="18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CBM</w:t>
            </w:r>
          </w:p>
        </w:tc>
        <w:tc>
          <w:tcPr>
            <w:tcW w:w="1526"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USD 5.000</w:t>
            </w:r>
          </w:p>
        </w:tc>
      </w:tr>
      <w:tr>
        <w:trPr/>
        <w:tc>
          <w:tcPr>
            <w:tcW w:w="35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Seguro internacional</w:t>
            </w:r>
          </w:p>
        </w:tc>
        <w:tc>
          <w:tcPr>
            <w:tcW w:w="21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5.110.000</w:t>
            </w:r>
          </w:p>
        </w:tc>
        <w:tc>
          <w:tcPr>
            <w:tcW w:w="18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FOB</w:t>
            </w:r>
          </w:p>
        </w:tc>
        <w:tc>
          <w:tcPr>
            <w:tcW w:w="1526"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USD 700</w:t>
            </w:r>
          </w:p>
        </w:tc>
      </w:tr>
      <w:tr>
        <w:trPr/>
        <w:tc>
          <w:tcPr>
            <w:tcW w:w="35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Despacho y honorarios</w:t>
            </w:r>
          </w:p>
        </w:tc>
        <w:tc>
          <w:tcPr>
            <w:tcW w:w="21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8.000.000</w:t>
            </w:r>
          </w:p>
        </w:tc>
        <w:tc>
          <w:tcPr>
            <w:tcW w:w="18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FOB</w:t>
            </w:r>
          </w:p>
        </w:tc>
        <w:tc>
          <w:tcPr>
            <w:tcW w:w="1526"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Gs.</w:t>
            </w:r>
          </w:p>
        </w:tc>
      </w:tr>
      <w:tr>
        <w:trPr/>
        <w:tc>
          <w:tcPr>
            <w:tcW w:w="35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Transporte puerto → depósito</w:t>
            </w:r>
          </w:p>
        </w:tc>
        <w:tc>
          <w:tcPr>
            <w:tcW w:w="21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4.500.000</w:t>
            </w:r>
          </w:p>
        </w:tc>
        <w:tc>
          <w:tcPr>
            <w:tcW w:w="18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CBM</w:t>
            </w:r>
          </w:p>
        </w:tc>
        <w:tc>
          <w:tcPr>
            <w:tcW w:w="1526"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Gs.</w:t>
            </w:r>
          </w:p>
        </w:tc>
      </w:tr>
      <w:tr>
        <w:trPr/>
        <w:tc>
          <w:tcPr>
            <w:tcW w:w="35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Gastos extras de gestión</w:t>
            </w:r>
          </w:p>
        </w:tc>
        <w:tc>
          <w:tcPr>
            <w:tcW w:w="21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3.000.000</w:t>
            </w:r>
          </w:p>
        </w:tc>
        <w:tc>
          <w:tcPr>
            <w:tcW w:w="18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FOB</w:t>
            </w:r>
          </w:p>
        </w:tc>
        <w:tc>
          <w:tcPr>
            <w:tcW w:w="1526"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Gs.</w:t>
            </w:r>
          </w:p>
        </w:tc>
      </w:tr>
      <w:tr>
        <w:trPr/>
        <w:tc>
          <w:tcPr>
            <w:tcW w:w="3500" w:type="dxa"/>
            <w:tcBorders>
              <w:top w:val="single" w:sz="4" w:space="0" w:color="CFCABE"/>
              <w:left w:val="single" w:sz="4" w:space="0" w:color="CFCABE"/>
              <w:bottom w:val="single" w:sz="4" w:space="0" w:color="CFCABE"/>
              <w:right w:val="single" w:sz="4" w:space="0" w:color="CFCABE"/>
            </w:tcBorders>
            <w:shd w:color="auto" w:fill="F7F2E8" w:val="clear"/>
            <w:tcMar>
              <w:top w:w="90" w:type="dxa"/>
              <w:bottom w:w="90" w:type="dxa"/>
            </w:tcMar>
            <w:vAlign w:val="center"/>
          </w:tcPr>
          <w:p>
            <w:pPr>
              <w:pStyle w:val="Normal"/>
              <w:rPr/>
            </w:pPr>
            <w:r>
              <w:rPr>
                <w:b/>
                <w:bCs/>
                <w:color w:val="0B1F3A"/>
                <w:sz w:val="20"/>
                <w:szCs w:val="20"/>
              </w:rPr>
              <w:t>Total compartido</w:t>
            </w:r>
          </w:p>
        </w:tc>
        <w:tc>
          <w:tcPr>
            <w:tcW w:w="2199" w:type="dxa"/>
            <w:tcBorders>
              <w:top w:val="single" w:sz="4" w:space="0" w:color="CFCABE"/>
              <w:left w:val="single" w:sz="4" w:space="0" w:color="CFCABE"/>
              <w:bottom w:val="single" w:sz="4" w:space="0" w:color="CFCABE"/>
              <w:right w:val="single" w:sz="4" w:space="0" w:color="CFCABE"/>
            </w:tcBorders>
            <w:shd w:color="auto" w:fill="F7F2E8" w:val="clear"/>
            <w:tcMar>
              <w:top w:w="90" w:type="dxa"/>
              <w:bottom w:w="90" w:type="dxa"/>
            </w:tcMar>
            <w:vAlign w:val="center"/>
          </w:tcPr>
          <w:p>
            <w:pPr>
              <w:pStyle w:val="Normal"/>
              <w:rPr/>
            </w:pPr>
            <w:r>
              <w:rPr>
                <w:b/>
                <w:bCs/>
                <w:color w:val="0B1F3A"/>
                <w:sz w:val="20"/>
                <w:szCs w:val="20"/>
              </w:rPr>
              <w:t>57.110.000</w:t>
            </w:r>
          </w:p>
        </w:tc>
        <w:tc>
          <w:tcPr>
            <w:tcW w:w="1800" w:type="dxa"/>
            <w:tcBorders>
              <w:top w:val="single" w:sz="4" w:space="0" w:color="CFCABE"/>
              <w:left w:val="single" w:sz="4" w:space="0" w:color="CFCABE"/>
              <w:bottom w:val="single" w:sz="4" w:space="0" w:color="CFCABE"/>
              <w:right w:val="single" w:sz="4" w:space="0" w:color="CFCABE"/>
            </w:tcBorders>
            <w:shd w:color="auto" w:fill="F7F2E8" w:val="clear"/>
            <w:tcMar>
              <w:top w:w="90" w:type="dxa"/>
              <w:bottom w:w="90" w:type="dxa"/>
            </w:tcMar>
            <w:vAlign w:val="center"/>
          </w:tcPr>
          <w:p>
            <w:pPr>
              <w:pStyle w:val="Normal"/>
              <w:rPr/>
            </w:pPr>
            <w:r>
              <w:rPr>
                <w:color w:val="0B1F3A"/>
                <w:sz w:val="20"/>
                <w:szCs w:val="20"/>
              </w:rPr>
              <w:t>—</w:t>
            </w:r>
          </w:p>
        </w:tc>
        <w:tc>
          <w:tcPr>
            <w:tcW w:w="1526" w:type="dxa"/>
            <w:tcBorders>
              <w:top w:val="single" w:sz="4" w:space="0" w:color="CFCABE"/>
              <w:left w:val="single" w:sz="4" w:space="0" w:color="CFCABE"/>
              <w:bottom w:val="single" w:sz="4" w:space="0" w:color="CFCABE"/>
              <w:right w:val="single" w:sz="4" w:space="0" w:color="CFCABE"/>
            </w:tcBorders>
            <w:shd w:color="auto" w:fill="F7F2E8" w:val="clear"/>
            <w:tcMar>
              <w:top w:w="90" w:type="dxa"/>
              <w:bottom w:w="90" w:type="dxa"/>
            </w:tcMar>
            <w:vAlign w:val="center"/>
          </w:tcPr>
          <w:p>
            <w:pPr>
              <w:pStyle w:val="Normal"/>
              <w:rPr/>
            </w:pPr>
            <w:r>
              <w:rPr>
                <w:color w:val="0B1F3A"/>
                <w:sz w:val="20"/>
                <w:szCs w:val="20"/>
              </w:rPr>
              <w:t>—</w:t>
            </w:r>
          </w:p>
        </w:tc>
      </w:tr>
    </w:tbl>
    <w:p>
      <w:pPr>
        <w:pStyle w:val="Normal"/>
        <w:spacing w:before="0" w:after="180"/>
        <w:rPr/>
      </w:pPr>
      <w:r>
        <w:rPr/>
      </w:r>
    </w:p>
    <w:p>
      <w:pPr>
        <w:pStyle w:val="Normal"/>
        <w:spacing w:before="0" w:after="120"/>
        <w:jc w:val="both"/>
        <w:rPr/>
      </w:pPr>
      <w:r>
        <w:rPr/>
        <w:t>Para la Linterna, su participación sobre el FOB total es 2.500 / 5.800 = 43,1%. Su participación sobre el CBM total es 2,0 / 25,0 = 8,0%. El sistema aplica el factor adecuado a cada concepto compartido y suma el impuesto directo al ítem (arancel + IVA importación) calculado sobre su base imponible.</w:t>
      </w:r>
    </w:p>
    <w:p>
      <w:pPr>
        <w:pStyle w:val="Heading2"/>
        <w:rPr/>
      </w:pPr>
      <w:r>
        <w:rPr/>
        <w:t>8.4 Recostificación</w:t>
      </w:r>
    </w:p>
    <w:p>
      <w:pPr>
        <w:pStyle w:val="Normal"/>
        <w:spacing w:before="0" w:after="120"/>
        <w:jc w:val="both"/>
        <w:rPr/>
      </w:pPr>
      <w:r>
        <w:rPr/>
        <w:t>Cuando ingresa una factura con fecha devengo posterior al cierre del despacho y marcada como componente del embarque, el sistema: (i) registra el componente, (ii) recalcula el costo unitario de los ítems afectados, (iii) genera un ajuste contable de inventario o de resultado según si el ítem está en stock o ya vendido, (iv) marca con un badge el ítem en inventario para alertar al área comercial que el precio de lista puede necesitar revisión.</w:t>
      </w:r>
    </w:p>
    <w:p>
      <w:pPr>
        <w:pStyle w:val="Heading2"/>
        <w:rPr/>
      </w:pPr>
      <w:r>
        <w:rPr/>
        <w:t>8.5 Sellado de costo</w:t>
      </w:r>
    </w:p>
    <w:p>
      <w:pPr>
        <w:pStyle w:val="Normal"/>
        <w:spacing w:before="0" w:after="120"/>
        <w:jc w:val="both"/>
        <w:rPr/>
      </w:pPr>
      <w:r>
        <w:rPr/>
        <w:t>Un embarque en estado "Sellado" no admite nuevos componentes sin autorización de un usuario con permiso de Supervisor. El sellado se usa típicamente para cerrar mes contable. Los componentes que lleguen tarde se canalizan a un embarque-ajuste o a gasto del período.</w:t>
      </w:r>
      <w:r>
        <w:br w:type="page"/>
      </w:r>
    </w:p>
    <w:p>
      <w:pPr>
        <w:pStyle w:val="Heading1"/>
        <w:rPr/>
      </w:pPr>
      <w:r>
        <w:rPr/>
        <w:t>9. Flujos de uso — Perfil autos</w:t>
      </w:r>
    </w:p>
    <w:p>
      <w:pPr>
        <w:pStyle w:val="Heading2"/>
        <w:rPr/>
      </w:pPr>
      <w:r>
        <w:rPr/>
        <w:t>9.1 Flujo comercial de punta a punta</w:t>
      </w:r>
    </w:p>
    <w:p>
      <w:pPr>
        <w:pStyle w:val="ListParagraph"/>
        <w:numPr>
          <w:ilvl w:val="0"/>
          <w:numId w:val="2"/>
        </w:numPr>
        <w:spacing w:before="0" w:after="60"/>
        <w:rPr/>
      </w:pPr>
      <w:r>
        <w:rPr/>
        <w:t>Compra en origen: registro de la subasta o compra directa, con número de lote y fecha. Se crea un vehículo en estado Pendiente de Embarque.</w:t>
      </w:r>
    </w:p>
    <w:p>
      <w:pPr>
        <w:pStyle w:val="ListParagraph"/>
        <w:numPr>
          <w:ilvl w:val="0"/>
          <w:numId w:val="2"/>
        </w:numPr>
        <w:spacing w:before="0" w:after="60"/>
        <w:rPr/>
      </w:pPr>
      <w:r>
        <w:rPr/>
        <w:t>Embarque: se asocia el vehículo a un Embarque, se captura BL, ETD y ETA. Cambio de estado a En tránsito.</w:t>
      </w:r>
    </w:p>
    <w:p>
      <w:pPr>
        <w:pStyle w:val="ListParagraph"/>
        <w:numPr>
          <w:ilvl w:val="0"/>
          <w:numId w:val="2"/>
        </w:numPr>
        <w:spacing w:before="0" w:after="60"/>
        <w:rPr/>
      </w:pPr>
      <w:r>
        <w:rPr/>
        <w:t>Arribo: al confirmarse el arribo al puerto paraguayo, el vehículo pasa a estado Arribado y se habilita la carga del despacho.</w:t>
      </w:r>
    </w:p>
    <w:p>
      <w:pPr>
        <w:pStyle w:val="ListParagraph"/>
        <w:numPr>
          <w:ilvl w:val="0"/>
          <w:numId w:val="2"/>
        </w:numPr>
        <w:spacing w:before="0" w:after="60"/>
        <w:rPr/>
      </w:pPr>
      <w:r>
        <w:rPr/>
        <w:t>Despacho: el despachante informa número, liquidación y fecha. El sistema calcula el costo unitario preliminar con los gastos registrados hasta ese momento.</w:t>
      </w:r>
    </w:p>
    <w:p>
      <w:pPr>
        <w:pStyle w:val="ListParagraph"/>
        <w:numPr>
          <w:ilvl w:val="0"/>
          <w:numId w:val="2"/>
        </w:numPr>
        <w:spacing w:before="0" w:after="60"/>
        <w:rPr/>
      </w:pPr>
      <w:r>
        <w:rPr/>
        <w:t>Liberación: inscripción en RACPR. El vehículo pasa a Disponible.</w:t>
      </w:r>
    </w:p>
    <w:p>
      <w:pPr>
        <w:pStyle w:val="ListParagraph"/>
        <w:numPr>
          <w:ilvl w:val="0"/>
          <w:numId w:val="2"/>
        </w:numPr>
        <w:spacing w:before="0" w:after="60"/>
        <w:rPr/>
      </w:pPr>
      <w:r>
        <w:rPr/>
        <w:t>Venta: se emite factura de venta al cliente. El vehículo pasa a Reservado primero y luego a Vendido.</w:t>
      </w:r>
    </w:p>
    <w:p>
      <w:pPr>
        <w:pStyle w:val="ListParagraph"/>
        <w:numPr>
          <w:ilvl w:val="0"/>
          <w:numId w:val="2"/>
        </w:numPr>
        <w:spacing w:before="0" w:after="60"/>
        <w:rPr/>
      </w:pPr>
      <w:r>
        <w:rPr/>
        <w:t>Transferencia: se asigna una escribanía del tarifario activo y se emite la orden de trabajo con todos los datos. El cliente paga los honorarios a la escribanía directamente.</w:t>
      </w:r>
    </w:p>
    <w:p>
      <w:pPr>
        <w:pStyle w:val="ListParagraph"/>
        <w:numPr>
          <w:ilvl w:val="0"/>
          <w:numId w:val="2"/>
        </w:numPr>
        <w:spacing w:before="0" w:after="60"/>
        <w:rPr/>
      </w:pPr>
      <w:r>
        <w:rPr/>
        <w:t>Entrega: al recibir la documentación inscrita de la escribanía, el vehículo pasa a Entregado y se cierra la operación.</w:t>
      </w:r>
    </w:p>
    <w:p>
      <w:pPr>
        <w:pStyle w:val="Heading2"/>
        <w:rPr/>
      </w:pPr>
      <w:r>
        <w:rPr/>
        <w:t>9.2 Caso especial — venta con prenda bancaria</w:t>
      </w:r>
    </w:p>
    <w:p>
      <w:pPr>
        <w:pStyle w:val="ListParagraph"/>
        <w:numPr>
          <w:ilvl w:val="0"/>
          <w:numId w:val="1"/>
        </w:numPr>
        <w:spacing w:before="0" w:after="60"/>
        <w:rPr/>
      </w:pPr>
      <w:r>
        <w:rPr/>
        <w:t>La escribanía asignada debe tener habilitada la tarifa transferencia_prenda.</w:t>
      </w:r>
    </w:p>
    <w:p>
      <w:pPr>
        <w:pStyle w:val="ListParagraph"/>
        <w:numPr>
          <w:ilvl w:val="0"/>
          <w:numId w:val="1"/>
        </w:numPr>
        <w:spacing w:before="0" w:after="60"/>
        <w:rPr/>
      </w:pPr>
      <w:r>
        <w:rPr/>
        <w:t>El sistema exige adjuntar el contrato prendario del banco antes de cambiar el trámite a En curso.</w:t>
      </w:r>
    </w:p>
    <w:p>
      <w:pPr>
        <w:pStyle w:val="ListParagraph"/>
        <w:numPr>
          <w:ilvl w:val="0"/>
          <w:numId w:val="1"/>
        </w:numPr>
        <w:spacing w:before="0" w:after="60"/>
        <w:rPr/>
      </w:pPr>
      <w:r>
        <w:rPr/>
        <w:t>Se genera una alerta si el banco no figura en el maestro de proveedores de prenda.</w:t>
      </w:r>
    </w:p>
    <w:p>
      <w:pPr>
        <w:pStyle w:val="Heading2"/>
        <w:rPr/>
      </w:pPr>
      <w:r>
        <w:rPr/>
        <w:t>9.3 Caso especial — cliente propone su propia escribanía</w:t>
      </w:r>
    </w:p>
    <w:p>
      <w:pPr>
        <w:pStyle w:val="ListParagraph"/>
        <w:numPr>
          <w:ilvl w:val="0"/>
          <w:numId w:val="1"/>
        </w:numPr>
        <w:spacing w:before="0" w:after="60"/>
        <w:rPr/>
      </w:pPr>
      <w:r>
        <w:rPr/>
        <w:t>Se permite escribanía ad-hoc sin alta en el tarifario.</w:t>
      </w:r>
    </w:p>
    <w:p>
      <w:pPr>
        <w:pStyle w:val="ListParagraph"/>
        <w:numPr>
          <w:ilvl w:val="0"/>
          <w:numId w:val="1"/>
        </w:numPr>
        <w:spacing w:before="0" w:after="60"/>
        <w:rPr/>
      </w:pPr>
      <w:r>
        <w:rPr/>
        <w:t>Se bloquea el campo "honorarios" en el ERP (los paga el cliente por fuera).</w:t>
      </w:r>
    </w:p>
    <w:p>
      <w:pPr>
        <w:pStyle w:val="ListParagraph"/>
        <w:numPr>
          <w:ilvl w:val="0"/>
          <w:numId w:val="1"/>
        </w:numPr>
        <w:spacing w:before="0" w:after="60"/>
        <w:rPr/>
      </w:pPr>
      <w:r>
        <w:rPr/>
        <w:t>Se pide a ventas motivo del cambio, para dejar registro de por qué no se usó el tarifario.</w:t>
      </w:r>
    </w:p>
    <w:p>
      <w:pPr>
        <w:pStyle w:val="Heading2"/>
        <w:rPr/>
      </w:pPr>
      <w:r>
        <w:rPr/>
        <w:t>9.4 Roles y permisos (mínimo v1)</w:t>
      </w:r>
    </w:p>
    <w:tbl>
      <w:tblPr>
        <w:tblW w:w="9026" w:type="dxa"/>
        <w:jc w:val="left"/>
        <w:tblInd w:w="0" w:type="dxa"/>
        <w:tblLayout w:type="fixed"/>
        <w:tblCellMar>
          <w:top w:w="100" w:type="dxa"/>
          <w:left w:w="140" w:type="dxa"/>
          <w:bottom w:w="100" w:type="dxa"/>
          <w:right w:w="140" w:type="dxa"/>
        </w:tblCellMar>
        <w:tblLook w:val="0000" w:noHBand="0" w:noVBand="0" w:firstColumn="0" w:lastRow="0" w:lastColumn="0" w:firstRow="0"/>
      </w:tblPr>
      <w:tblGrid>
        <w:gridCol w:w="2170"/>
        <w:gridCol w:w="1771"/>
        <w:gridCol w:w="1768"/>
        <w:gridCol w:w="2282"/>
        <w:gridCol w:w="1035"/>
      </w:tblGrid>
      <w:tr>
        <w:trPr>
          <w:tblHeader w:val="true"/>
        </w:trPr>
        <w:tc>
          <w:tcPr>
            <w:tcW w:w="2170"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Rol</w:t>
            </w:r>
          </w:p>
        </w:tc>
        <w:tc>
          <w:tcPr>
            <w:tcW w:w="1771"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Puede crear embarque</w:t>
            </w:r>
          </w:p>
        </w:tc>
        <w:tc>
          <w:tcPr>
            <w:tcW w:w="1768"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Puede cerrar despacho</w:t>
            </w:r>
          </w:p>
        </w:tc>
        <w:tc>
          <w:tcPr>
            <w:tcW w:w="2282"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Puede desbloquear costo sellado</w:t>
            </w:r>
          </w:p>
        </w:tc>
        <w:tc>
          <w:tcPr>
            <w:tcW w:w="1035"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Gastos extras</w:t>
            </w:r>
          </w:p>
        </w:tc>
      </w:tr>
      <w:tr>
        <w:trPr/>
        <w:tc>
          <w:tcPr>
            <w:tcW w:w="217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Operativo</w:t>
            </w:r>
          </w:p>
        </w:tc>
        <w:tc>
          <w:tcPr>
            <w:tcW w:w="177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Sí</w:t>
            </w:r>
          </w:p>
        </w:tc>
        <w:tc>
          <w:tcPr>
            <w:tcW w:w="1768"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No</w:t>
            </w:r>
          </w:p>
        </w:tc>
        <w:tc>
          <w:tcPr>
            <w:tcW w:w="2282"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No</w:t>
            </w:r>
          </w:p>
        </w:tc>
        <w:tc>
          <w:tcPr>
            <w:tcW w:w="103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Ver</w:t>
            </w:r>
          </w:p>
        </w:tc>
      </w:tr>
      <w:tr>
        <w:trPr/>
        <w:tc>
          <w:tcPr>
            <w:tcW w:w="217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Administración</w:t>
            </w:r>
          </w:p>
        </w:tc>
        <w:tc>
          <w:tcPr>
            <w:tcW w:w="177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Sí</w:t>
            </w:r>
          </w:p>
        </w:tc>
        <w:tc>
          <w:tcPr>
            <w:tcW w:w="1768"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Sí</w:t>
            </w:r>
          </w:p>
        </w:tc>
        <w:tc>
          <w:tcPr>
            <w:tcW w:w="2282"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No</w:t>
            </w:r>
          </w:p>
        </w:tc>
        <w:tc>
          <w:tcPr>
            <w:tcW w:w="103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Cargar</w:t>
            </w:r>
          </w:p>
        </w:tc>
      </w:tr>
      <w:tr>
        <w:trPr/>
        <w:tc>
          <w:tcPr>
            <w:tcW w:w="217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Supervisor</w:t>
            </w:r>
          </w:p>
        </w:tc>
        <w:tc>
          <w:tcPr>
            <w:tcW w:w="177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Sí</w:t>
            </w:r>
          </w:p>
        </w:tc>
        <w:tc>
          <w:tcPr>
            <w:tcW w:w="1768"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Sí</w:t>
            </w:r>
          </w:p>
        </w:tc>
        <w:tc>
          <w:tcPr>
            <w:tcW w:w="2282"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Sí</w:t>
            </w:r>
          </w:p>
        </w:tc>
        <w:tc>
          <w:tcPr>
            <w:tcW w:w="103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Autorizar</w:t>
            </w:r>
          </w:p>
        </w:tc>
      </w:tr>
      <w:tr>
        <w:trPr/>
        <w:tc>
          <w:tcPr>
            <w:tcW w:w="217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Contador</w:t>
            </w:r>
          </w:p>
        </w:tc>
        <w:tc>
          <w:tcPr>
            <w:tcW w:w="177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Ver</w:t>
            </w:r>
          </w:p>
        </w:tc>
        <w:tc>
          <w:tcPr>
            <w:tcW w:w="1768"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Ver</w:t>
            </w:r>
          </w:p>
        </w:tc>
        <w:tc>
          <w:tcPr>
            <w:tcW w:w="2282"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No</w:t>
            </w:r>
          </w:p>
        </w:tc>
        <w:tc>
          <w:tcPr>
            <w:tcW w:w="103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Ver</w:t>
            </w:r>
          </w:p>
        </w:tc>
      </w:tr>
      <w:tr>
        <w:trPr/>
        <w:tc>
          <w:tcPr>
            <w:tcW w:w="217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Comercial</w:t>
            </w:r>
          </w:p>
        </w:tc>
        <w:tc>
          <w:tcPr>
            <w:tcW w:w="177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Ver</w:t>
            </w:r>
          </w:p>
        </w:tc>
        <w:tc>
          <w:tcPr>
            <w:tcW w:w="1768"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No</w:t>
            </w:r>
          </w:p>
        </w:tc>
        <w:tc>
          <w:tcPr>
            <w:tcW w:w="2282"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No</w:t>
            </w:r>
          </w:p>
        </w:tc>
        <w:tc>
          <w:tcPr>
            <w:tcW w:w="103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No ver</w:t>
            </w:r>
          </w:p>
        </w:tc>
      </w:tr>
    </w:tbl>
    <w:p>
      <w:pPr>
        <w:pStyle w:val="Heading1"/>
        <w:rPr/>
      </w:pPr>
      <w:r>
        <w:br w:type="page"/>
      </w:r>
      <w:r>
        <w:rPr/>
        <w:t>10. Flujos de uso — Perfil consumo masivo</w:t>
      </w:r>
    </w:p>
    <w:p>
      <w:pPr>
        <w:pStyle w:val="Heading2"/>
        <w:rPr/>
      </w:pPr>
      <w:r>
        <w:rPr/>
        <w:t>10.1 Flujo de punta a punta</w:t>
      </w:r>
    </w:p>
    <w:p>
      <w:pPr>
        <w:pStyle w:val="ListParagraph"/>
        <w:numPr>
          <w:ilvl w:val="0"/>
          <w:numId w:val="2"/>
        </w:numPr>
        <w:spacing w:before="0" w:after="60"/>
        <w:rPr/>
      </w:pPr>
      <w:r>
        <w:rPr/>
        <w:t>Orden de compra al proveedor chino. Se emite PO en USD con plazo y condiciones.</w:t>
      </w:r>
    </w:p>
    <w:p>
      <w:pPr>
        <w:pStyle w:val="ListParagraph"/>
        <w:numPr>
          <w:ilvl w:val="0"/>
          <w:numId w:val="2"/>
        </w:numPr>
        <w:spacing w:before="0" w:after="60"/>
        <w:rPr/>
      </w:pPr>
      <w:r>
        <w:rPr/>
        <w:t>Seña (30% típico). Registro del pago y contabilización en mercadería en tránsito.</w:t>
      </w:r>
    </w:p>
    <w:p>
      <w:pPr>
        <w:pStyle w:val="ListParagraph"/>
        <w:numPr>
          <w:ilvl w:val="0"/>
          <w:numId w:val="2"/>
        </w:numPr>
        <w:spacing w:before="0" w:after="60"/>
        <w:rPr/>
      </w:pPr>
      <w:r>
        <w:rPr/>
        <w:t>Packing list y factura comercial del proveedor. Upload del Excel y mapeo SKU-a-SKU contra el maestro interno.</w:t>
      </w:r>
    </w:p>
    <w:p>
      <w:pPr>
        <w:pStyle w:val="ListParagraph"/>
        <w:numPr>
          <w:ilvl w:val="0"/>
          <w:numId w:val="2"/>
        </w:numPr>
        <w:spacing w:before="0" w:after="60"/>
        <w:rPr/>
      </w:pPr>
      <w:r>
        <w:rPr/>
        <w:t>Embarque: carga en origen, generación del BL, y registro del pago del saldo (70%).</w:t>
      </w:r>
    </w:p>
    <w:p>
      <w:pPr>
        <w:pStyle w:val="ListParagraph"/>
        <w:numPr>
          <w:ilvl w:val="0"/>
          <w:numId w:val="2"/>
        </w:numPr>
        <w:spacing w:before="0" w:after="60"/>
        <w:rPr/>
      </w:pPr>
      <w:r>
        <w:rPr/>
        <w:t>Tránsito: seguimiento manual o con integración al operador logístico. Arribo a Villeta o Asunción.</w:t>
      </w:r>
    </w:p>
    <w:p>
      <w:pPr>
        <w:pStyle w:val="ListParagraph"/>
        <w:numPr>
          <w:ilvl w:val="0"/>
          <w:numId w:val="2"/>
        </w:numPr>
        <w:spacing w:before="0" w:after="60"/>
        <w:rPr/>
      </w:pPr>
      <w:r>
        <w:rPr/>
        <w:t>Despacho: el despachante informa liquidación. El sistema calcula el costo unitario por SKU con los criterios de prorrateo definidos.</w:t>
      </w:r>
    </w:p>
    <w:p>
      <w:pPr>
        <w:pStyle w:val="ListParagraph"/>
        <w:numPr>
          <w:ilvl w:val="0"/>
          <w:numId w:val="2"/>
        </w:numPr>
        <w:spacing w:before="0" w:after="60"/>
        <w:rPr/>
      </w:pPr>
      <w:r>
        <w:rPr/>
        <w:t>Ingreso a depósito: alta de stock con costo calculado. Los SKUs que no tengan mapeo quedan en estado Pendiente de mapeo.</w:t>
      </w:r>
    </w:p>
    <w:p>
      <w:pPr>
        <w:pStyle w:val="ListParagraph"/>
        <w:numPr>
          <w:ilvl w:val="0"/>
          <w:numId w:val="2"/>
        </w:numPr>
        <w:spacing w:before="0" w:after="60"/>
        <w:rPr/>
      </w:pPr>
      <w:r>
        <w:rPr/>
        <w:t>Publicación: liberación de stock al módulo de ventas mayorista y minorista.</w:t>
      </w:r>
    </w:p>
    <w:p>
      <w:pPr>
        <w:pStyle w:val="Heading2"/>
        <w:rPr/>
      </w:pPr>
      <w:r>
        <w:rPr/>
        <w:t>10.2 Mapeo masivo de SKUs</w:t>
      </w:r>
    </w:p>
    <w:p>
      <w:pPr>
        <w:pStyle w:val="Normal"/>
        <w:spacing w:before="0" w:after="120"/>
        <w:jc w:val="both"/>
        <w:rPr/>
      </w:pPr>
      <w:r>
        <w:rPr/>
        <w:t>El Excel del proveedor chino raramente coincide con el maestro interno. El sistema propone un matcher con tres niveles: (i) exact match por código previo conocido, (ii) fuzzy match por descripción, (iii) manual con aprendizaje. Cada mapeo aprobado queda en memoria, de modo que el siguiente embarque del mismo proveedor arranque con el 80%+ ya resuelto.</w:t>
      </w:r>
    </w:p>
    <w:p>
      <w:pPr>
        <w:pStyle w:val="ListParagraph"/>
        <w:numPr>
          <w:ilvl w:val="0"/>
          <w:numId w:val="1"/>
        </w:numPr>
        <w:spacing w:before="0" w:after="60"/>
        <w:rPr/>
      </w:pPr>
      <w:r>
        <w:rPr/>
        <w:t>Nivel 1: match exacto por tabla de alias SKU proveedor → SKU interno.</w:t>
      </w:r>
    </w:p>
    <w:p>
      <w:pPr>
        <w:pStyle w:val="ListParagraph"/>
        <w:numPr>
          <w:ilvl w:val="0"/>
          <w:numId w:val="1"/>
        </w:numPr>
        <w:spacing w:before="0" w:after="60"/>
        <w:rPr/>
      </w:pPr>
      <w:r>
        <w:rPr/>
        <w:t>Nivel 2: match aproximado por similitud de descripción en inglés + dimensiones.</w:t>
      </w:r>
    </w:p>
    <w:p>
      <w:pPr>
        <w:pStyle w:val="ListParagraph"/>
        <w:numPr>
          <w:ilvl w:val="0"/>
          <w:numId w:val="1"/>
        </w:numPr>
        <w:spacing w:before="0" w:after="60"/>
        <w:rPr/>
      </w:pPr>
      <w:r>
        <w:rPr/>
        <w:t>Nivel 3: sugerencia al usuario para validar o crear SKU nuevo en batch.</w:t>
      </w:r>
    </w:p>
    <w:p>
      <w:pPr>
        <w:pStyle w:val="Heading2"/>
        <w:rPr/>
      </w:pPr>
      <w:r>
        <w:rPr/>
        <w:t>10.3 Criterios de prorrateo recomendados</w:t>
      </w:r>
    </w:p>
    <w:tbl>
      <w:tblPr>
        <w:tblW w:w="9026" w:type="dxa"/>
        <w:jc w:val="left"/>
        <w:tblInd w:w="0" w:type="dxa"/>
        <w:tblLayout w:type="fixed"/>
        <w:tblCellMar>
          <w:top w:w="100" w:type="dxa"/>
          <w:left w:w="140" w:type="dxa"/>
          <w:bottom w:w="100" w:type="dxa"/>
          <w:right w:w="140" w:type="dxa"/>
        </w:tblCellMar>
        <w:tblLook w:val="0000" w:noHBand="0" w:noVBand="0" w:firstColumn="0" w:lastRow="0" w:lastColumn="0" w:firstRow="0"/>
      </w:tblPr>
      <w:tblGrid>
        <w:gridCol w:w="2799"/>
        <w:gridCol w:w="1500"/>
        <w:gridCol w:w="1501"/>
        <w:gridCol w:w="1500"/>
        <w:gridCol w:w="1726"/>
      </w:tblGrid>
      <w:tr>
        <w:trPr>
          <w:tblHeader w:val="true"/>
        </w:trPr>
        <w:tc>
          <w:tcPr>
            <w:tcW w:w="2799"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Tipo de producto</w:t>
            </w:r>
          </w:p>
        </w:tc>
        <w:tc>
          <w:tcPr>
            <w:tcW w:w="1500"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Flete</w:t>
            </w:r>
          </w:p>
        </w:tc>
        <w:tc>
          <w:tcPr>
            <w:tcW w:w="1501"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Despacho</w:t>
            </w:r>
          </w:p>
        </w:tc>
        <w:tc>
          <w:tcPr>
            <w:tcW w:w="1500"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Seguro</w:t>
            </w:r>
          </w:p>
        </w:tc>
        <w:tc>
          <w:tcPr>
            <w:tcW w:w="1726"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Gastos extras</w:t>
            </w:r>
          </w:p>
        </w:tc>
      </w:tr>
      <w:tr>
        <w:trPr/>
        <w:tc>
          <w:tcPr>
            <w:tcW w:w="27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Bazar y plástico (liviano, voluminoso)</w:t>
            </w:r>
          </w:p>
        </w:tc>
        <w:tc>
          <w:tcPr>
            <w:tcW w:w="15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CBM</w:t>
            </w:r>
          </w:p>
        </w:tc>
        <w:tc>
          <w:tcPr>
            <w:tcW w:w="15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FOB</w:t>
            </w:r>
          </w:p>
        </w:tc>
        <w:tc>
          <w:tcPr>
            <w:tcW w:w="15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FOB</w:t>
            </w:r>
          </w:p>
        </w:tc>
        <w:tc>
          <w:tcPr>
            <w:tcW w:w="1726"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FOB</w:t>
            </w:r>
          </w:p>
        </w:tc>
      </w:tr>
      <w:tr>
        <w:trPr/>
        <w:tc>
          <w:tcPr>
            <w:tcW w:w="27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Textil (voluminoso, variable)</w:t>
            </w:r>
          </w:p>
        </w:tc>
        <w:tc>
          <w:tcPr>
            <w:tcW w:w="15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CBM</w:t>
            </w:r>
          </w:p>
        </w:tc>
        <w:tc>
          <w:tcPr>
            <w:tcW w:w="15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FOB</w:t>
            </w:r>
          </w:p>
        </w:tc>
        <w:tc>
          <w:tcPr>
            <w:tcW w:w="15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FOB</w:t>
            </w:r>
          </w:p>
        </w:tc>
        <w:tc>
          <w:tcPr>
            <w:tcW w:w="1726"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FOB</w:t>
            </w:r>
          </w:p>
        </w:tc>
      </w:tr>
      <w:tr>
        <w:trPr/>
        <w:tc>
          <w:tcPr>
            <w:tcW w:w="27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Electrónica (pesada, valor alto)</w:t>
            </w:r>
          </w:p>
        </w:tc>
        <w:tc>
          <w:tcPr>
            <w:tcW w:w="15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FOB</w:t>
            </w:r>
          </w:p>
        </w:tc>
        <w:tc>
          <w:tcPr>
            <w:tcW w:w="15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FOB</w:t>
            </w:r>
          </w:p>
        </w:tc>
        <w:tc>
          <w:tcPr>
            <w:tcW w:w="15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FOB</w:t>
            </w:r>
          </w:p>
        </w:tc>
        <w:tc>
          <w:tcPr>
            <w:tcW w:w="1726"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FOB</w:t>
            </w:r>
          </w:p>
        </w:tc>
      </w:tr>
      <w:tr>
        <w:trPr/>
        <w:tc>
          <w:tcPr>
            <w:tcW w:w="27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Hogar y juguetería (mix)</w:t>
            </w:r>
          </w:p>
        </w:tc>
        <w:tc>
          <w:tcPr>
            <w:tcW w:w="15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CBM</w:t>
            </w:r>
          </w:p>
        </w:tc>
        <w:tc>
          <w:tcPr>
            <w:tcW w:w="1501"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FOB</w:t>
            </w:r>
          </w:p>
        </w:tc>
        <w:tc>
          <w:tcPr>
            <w:tcW w:w="15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FOB</w:t>
            </w:r>
          </w:p>
        </w:tc>
        <w:tc>
          <w:tcPr>
            <w:tcW w:w="1726"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FOB</w:t>
            </w:r>
          </w:p>
        </w:tc>
      </w:tr>
      <w:tr>
        <w:trPr/>
        <w:tc>
          <w:tcPr>
            <w:tcW w:w="27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Ferretería y herramientas (pesado)</w:t>
            </w:r>
          </w:p>
        </w:tc>
        <w:tc>
          <w:tcPr>
            <w:tcW w:w="15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PESO</w:t>
            </w:r>
          </w:p>
        </w:tc>
        <w:tc>
          <w:tcPr>
            <w:tcW w:w="1501"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FOB</w:t>
            </w:r>
          </w:p>
        </w:tc>
        <w:tc>
          <w:tcPr>
            <w:tcW w:w="15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FOB</w:t>
            </w:r>
          </w:p>
        </w:tc>
        <w:tc>
          <w:tcPr>
            <w:tcW w:w="1726"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FOB</w:t>
            </w:r>
          </w:p>
        </w:tc>
      </w:tr>
    </w:tbl>
    <w:p>
      <w:pPr>
        <w:pStyle w:val="Heading1"/>
        <w:rPr/>
      </w:pPr>
      <w:r>
        <w:br w:type="page"/>
      </w:r>
      <w:r>
        <w:rPr/>
        <w:t>11. Pantallas principales</w:t>
      </w:r>
    </w:p>
    <w:p>
      <w:pPr>
        <w:pStyle w:val="Heading2"/>
        <w:rPr/>
      </w:pPr>
      <w:r>
        <w:rPr/>
        <w:t>11.1 Lista de embarques</w:t>
      </w:r>
    </w:p>
    <w:p>
      <w:pPr>
        <w:pStyle w:val="ListParagraph"/>
        <w:numPr>
          <w:ilvl w:val="0"/>
          <w:numId w:val="1"/>
        </w:numPr>
        <w:spacing w:before="0" w:after="60"/>
        <w:rPr/>
      </w:pPr>
      <w:r>
        <w:rPr/>
        <w:t>Filtros: perfil (autos/consumo), estado, origen, despachante, mes de arribo.</w:t>
      </w:r>
    </w:p>
    <w:p>
      <w:pPr>
        <w:pStyle w:val="ListParagraph"/>
        <w:numPr>
          <w:ilvl w:val="0"/>
          <w:numId w:val="1"/>
        </w:numPr>
        <w:spacing w:before="0" w:after="60"/>
        <w:rPr/>
      </w:pPr>
      <w:r>
        <w:rPr/>
        <w:t>Columnas: Nº embarque, BL, origen, ETA, estado, ítems, FOB total USD, costo total Gs., margen estimado si hay ventas, indicador de recostificación pendiente.</w:t>
      </w:r>
    </w:p>
    <w:p>
      <w:pPr>
        <w:pStyle w:val="ListParagraph"/>
        <w:numPr>
          <w:ilvl w:val="0"/>
          <w:numId w:val="1"/>
        </w:numPr>
        <w:spacing w:before="0" w:after="60"/>
        <w:rPr/>
      </w:pPr>
      <w:r>
        <w:rPr/>
        <w:t>Acciones rápidas: abrir, duplicar, sellar, exportar a Excel.</w:t>
      </w:r>
    </w:p>
    <w:p>
      <w:pPr>
        <w:pStyle w:val="Heading2"/>
        <w:rPr/>
      </w:pPr>
      <w:r>
        <w:rPr/>
        <w:t>11.2 Detalle de embarque</w:t>
      </w:r>
    </w:p>
    <w:p>
      <w:pPr>
        <w:pStyle w:val="ListParagraph"/>
        <w:numPr>
          <w:ilvl w:val="0"/>
          <w:numId w:val="1"/>
        </w:numPr>
        <w:spacing w:before="0" w:after="60"/>
        <w:rPr/>
      </w:pPr>
      <w:r>
        <w:rPr/>
        <w:t>Pestaña Cabecera: datos del embarque y del proveedor.</w:t>
      </w:r>
    </w:p>
    <w:p>
      <w:pPr>
        <w:pStyle w:val="ListParagraph"/>
        <w:numPr>
          <w:ilvl w:val="0"/>
          <w:numId w:val="1"/>
        </w:numPr>
        <w:spacing w:before="0" w:after="60"/>
        <w:rPr/>
      </w:pPr>
      <w:r>
        <w:rPr/>
        <w:t>Pestaña Ítems: grilla de vehículos o SKUs con costo unitario calculado en vivo.</w:t>
      </w:r>
    </w:p>
    <w:p>
      <w:pPr>
        <w:pStyle w:val="ListParagraph"/>
        <w:numPr>
          <w:ilvl w:val="0"/>
          <w:numId w:val="1"/>
        </w:numPr>
        <w:spacing w:before="0" w:after="60"/>
        <w:rPr/>
      </w:pPr>
      <w:r>
        <w:rPr/>
        <w:t>Pestaña Costos: componentes del costo con criterio de prorrateo y total en USD y Gs.</w:t>
      </w:r>
    </w:p>
    <w:p>
      <w:pPr>
        <w:pStyle w:val="ListParagraph"/>
        <w:numPr>
          <w:ilvl w:val="0"/>
          <w:numId w:val="1"/>
        </w:numPr>
        <w:spacing w:before="0" w:after="60"/>
        <w:rPr/>
      </w:pPr>
      <w:r>
        <w:rPr/>
        <w:t>Pestaña Despacho: datos de la liquidación y cálculo de impuestos.</w:t>
      </w:r>
    </w:p>
    <w:p>
      <w:pPr>
        <w:pStyle w:val="ListParagraph"/>
        <w:numPr>
          <w:ilvl w:val="0"/>
          <w:numId w:val="1"/>
        </w:numPr>
        <w:spacing w:before="0" w:after="60"/>
        <w:rPr/>
      </w:pPr>
      <w:r>
        <w:rPr/>
        <w:t>Pestaña Pagos: programación y ejecución de pagos al proveedor, al despachante y a gastos.</w:t>
      </w:r>
    </w:p>
    <w:p>
      <w:pPr>
        <w:pStyle w:val="ListParagraph"/>
        <w:numPr>
          <w:ilvl w:val="0"/>
          <w:numId w:val="1"/>
        </w:numPr>
        <w:spacing w:before="0" w:after="60"/>
        <w:rPr/>
      </w:pPr>
      <w:r>
        <w:rPr/>
        <w:t>Pestaña Bitácora: audit trail.</w:t>
      </w:r>
    </w:p>
    <w:p>
      <w:pPr>
        <w:pStyle w:val="Heading2"/>
        <w:rPr/>
      </w:pPr>
      <w:r>
        <w:rPr/>
        <w:t>11.3 Ficha del vehículo (perfil autos)</w:t>
      </w:r>
    </w:p>
    <w:p>
      <w:pPr>
        <w:pStyle w:val="ListParagraph"/>
        <w:numPr>
          <w:ilvl w:val="0"/>
          <w:numId w:val="1"/>
        </w:numPr>
        <w:spacing w:before="0" w:after="60"/>
        <w:rPr/>
      </w:pPr>
      <w:r>
        <w:rPr/>
        <w:t>Cabecera: chasis, marca, modelo, año, foto lateral.</w:t>
      </w:r>
    </w:p>
    <w:p>
      <w:pPr>
        <w:pStyle w:val="ListParagraph"/>
        <w:numPr>
          <w:ilvl w:val="0"/>
          <w:numId w:val="1"/>
        </w:numPr>
        <w:spacing w:before="0" w:after="60"/>
        <w:rPr/>
      </w:pPr>
      <w:r>
        <w:rPr/>
        <w:t>Sección 1: datos técnicos.</w:t>
      </w:r>
    </w:p>
    <w:p>
      <w:pPr>
        <w:pStyle w:val="ListParagraph"/>
        <w:numPr>
          <w:ilvl w:val="0"/>
          <w:numId w:val="1"/>
        </w:numPr>
        <w:spacing w:before="0" w:after="60"/>
        <w:rPr/>
      </w:pPr>
      <w:r>
        <w:rPr/>
        <w:t>Sección 2: composición del costo Gs. con breakdown por componente.</w:t>
      </w:r>
    </w:p>
    <w:p>
      <w:pPr>
        <w:pStyle w:val="ListParagraph"/>
        <w:numPr>
          <w:ilvl w:val="0"/>
          <w:numId w:val="1"/>
        </w:numPr>
        <w:spacing w:before="0" w:after="60"/>
        <w:rPr/>
      </w:pPr>
      <w:r>
        <w:rPr/>
        <w:t>Sección 3: historial del vehículo (arribo → despacho → stock → reserva → venta → transferencia → entrega).</w:t>
      </w:r>
    </w:p>
    <w:p>
      <w:pPr>
        <w:pStyle w:val="ListParagraph"/>
        <w:numPr>
          <w:ilvl w:val="0"/>
          <w:numId w:val="1"/>
        </w:numPr>
        <w:spacing w:before="0" w:after="60"/>
        <w:rPr/>
      </w:pPr>
      <w:r>
        <w:rPr/>
        <w:t>Sección 4: trámite de transferencia con escribanía asignada.</w:t>
      </w:r>
    </w:p>
    <w:p>
      <w:pPr>
        <w:pStyle w:val="Heading2"/>
        <w:rPr/>
      </w:pPr>
      <w:r>
        <w:rPr/>
        <w:t>11.4 Panel de escribanías</w:t>
      </w:r>
    </w:p>
    <w:p>
      <w:pPr>
        <w:pStyle w:val="ListParagraph"/>
        <w:numPr>
          <w:ilvl w:val="0"/>
          <w:numId w:val="1"/>
        </w:numPr>
        <w:spacing w:before="0" w:after="60"/>
        <w:rPr/>
      </w:pPr>
      <w:r>
        <w:rPr/>
        <w:t>Listado de escribanías activas con volumen del mes y ticket promedio.</w:t>
      </w:r>
    </w:p>
    <w:p>
      <w:pPr>
        <w:pStyle w:val="ListParagraph"/>
        <w:numPr>
          <w:ilvl w:val="0"/>
          <w:numId w:val="1"/>
        </w:numPr>
        <w:spacing w:before="0" w:after="60"/>
        <w:rPr/>
      </w:pPr>
      <w:r>
        <w:rPr/>
        <w:t>Trámites en curso por escribanía con semáforo de SLA.</w:t>
      </w:r>
    </w:p>
    <w:p>
      <w:pPr>
        <w:pStyle w:val="ListParagraph"/>
        <w:numPr>
          <w:ilvl w:val="0"/>
          <w:numId w:val="1"/>
        </w:numPr>
        <w:spacing w:before="0" w:after="60"/>
        <w:rPr/>
      </w:pPr>
      <w:r>
        <w:rPr/>
        <w:t>Alertas de trámites con más de N días sin movimiento.</w:t>
      </w:r>
    </w:p>
    <w:p>
      <w:pPr>
        <w:pStyle w:val="Heading2"/>
        <w:rPr/>
      </w:pPr>
      <w:r>
        <w:rPr/>
        <w:t>11.5 Panel de costeo en vivo</w:t>
      </w:r>
    </w:p>
    <w:p>
      <w:pPr>
        <w:pStyle w:val="ListParagraph"/>
        <w:numPr>
          <w:ilvl w:val="0"/>
          <w:numId w:val="1"/>
        </w:numPr>
        <w:spacing w:before="0" w:after="60"/>
        <w:rPr/>
      </w:pPr>
      <w:r>
        <w:rPr/>
        <w:t>Gráfico de barras del costo unitario promedio por categoría (autos) o por familia (consumo masivo).</w:t>
      </w:r>
    </w:p>
    <w:p>
      <w:pPr>
        <w:pStyle w:val="ListParagraph"/>
        <w:numPr>
          <w:ilvl w:val="0"/>
          <w:numId w:val="1"/>
        </w:numPr>
        <w:spacing w:before="0" w:after="60"/>
        <w:rPr/>
      </w:pPr>
      <w:r>
        <w:rPr/>
        <w:t>Top 10 de embarques más costosos por ítem.</w:t>
      </w:r>
    </w:p>
    <w:p>
      <w:pPr>
        <w:pStyle w:val="ListParagraph"/>
        <w:numPr>
          <w:ilvl w:val="0"/>
          <w:numId w:val="1"/>
        </w:numPr>
        <w:spacing w:before="0" w:after="60"/>
        <w:rPr/>
      </w:pPr>
      <w:r>
        <w:rPr/>
        <w:t>Evolución mensual del porcentaje de "gastos extras de gestión" sobre FOB.</w:t>
      </w:r>
      <w:r>
        <w:br w:type="page"/>
      </w:r>
    </w:p>
    <w:p>
      <w:pPr>
        <w:pStyle w:val="Heading1"/>
        <w:rPr/>
      </w:pPr>
      <w:r>
        <w:rPr/>
        <w:t>12. Reportes</w:t>
      </w:r>
    </w:p>
    <w:p>
      <w:pPr>
        <w:pStyle w:val="ListParagraph"/>
        <w:numPr>
          <w:ilvl w:val="0"/>
          <w:numId w:val="1"/>
        </w:numPr>
        <w:spacing w:before="0" w:after="60"/>
        <w:rPr/>
      </w:pPr>
      <w:r>
        <w:rPr/>
        <w:t>Liquidación de embarque (PDF y XLSX): costo unitario por ítem con desglose de componentes.</w:t>
      </w:r>
    </w:p>
    <w:p>
      <w:pPr>
        <w:pStyle w:val="ListParagraph"/>
        <w:numPr>
          <w:ilvl w:val="0"/>
          <w:numId w:val="1"/>
        </w:numPr>
        <w:spacing w:before="0" w:after="60"/>
        <w:rPr/>
      </w:pPr>
      <w:r>
        <w:rPr/>
        <w:t>Margen por embarque (XLSX): costo unitario vs. precio de venta ponderado, margen absoluto y porcentual.</w:t>
      </w:r>
    </w:p>
    <w:p>
      <w:pPr>
        <w:pStyle w:val="ListParagraph"/>
        <w:numPr>
          <w:ilvl w:val="0"/>
          <w:numId w:val="1"/>
        </w:numPr>
        <w:spacing w:before="0" w:after="60"/>
        <w:rPr/>
      </w:pPr>
      <w:r>
        <w:rPr/>
        <w:t>Libro IVA Compras con conceptos de importación (formato Hechauka).</w:t>
      </w:r>
    </w:p>
    <w:p>
      <w:pPr>
        <w:pStyle w:val="ListParagraph"/>
        <w:numPr>
          <w:ilvl w:val="0"/>
          <w:numId w:val="1"/>
        </w:numPr>
        <w:spacing w:before="0" w:after="60"/>
        <w:rPr/>
      </w:pPr>
      <w:r>
        <w:rPr/>
        <w:t>Gastos compartidos por período y por concepto.</w:t>
      </w:r>
    </w:p>
    <w:p>
      <w:pPr>
        <w:pStyle w:val="ListParagraph"/>
        <w:numPr>
          <w:ilvl w:val="0"/>
          <w:numId w:val="1"/>
        </w:numPr>
        <w:spacing w:before="0" w:after="60"/>
        <w:rPr/>
      </w:pPr>
      <w:r>
        <w:rPr/>
        <w:t>Trámites por escribanía (solo autos): cantidad, facturación al cliente, tiempo promedio de cierre.</w:t>
      </w:r>
    </w:p>
    <w:p>
      <w:pPr>
        <w:pStyle w:val="ListParagraph"/>
        <w:numPr>
          <w:ilvl w:val="0"/>
          <w:numId w:val="1"/>
        </w:numPr>
        <w:spacing w:before="0" w:after="60"/>
        <w:rPr/>
      </w:pPr>
      <w:r>
        <w:rPr/>
        <w:t>Tiempo promedio de tránsito por origen (KR, JP, CN) para planificación de compras.</w:t>
      </w:r>
    </w:p>
    <w:p>
      <w:pPr>
        <w:pStyle w:val="ListParagraph"/>
        <w:numPr>
          <w:ilvl w:val="0"/>
          <w:numId w:val="1"/>
        </w:numPr>
        <w:spacing w:before="0" w:after="60"/>
        <w:rPr/>
      </w:pPr>
      <w:r>
        <w:rPr/>
        <w:t>Stock valuado al costo final con fecha de ingreso, edad del stock y costo promedio ponderado.</w:t>
      </w:r>
    </w:p>
    <w:p>
      <w:pPr>
        <w:pStyle w:val="ListParagraph"/>
        <w:numPr>
          <w:ilvl w:val="0"/>
          <w:numId w:val="1"/>
        </w:numPr>
        <w:spacing w:before="0" w:after="60"/>
        <w:rPr/>
      </w:pPr>
      <w:r>
        <w:rPr/>
        <w:t>Aging de trámites de transferencia pendientes de inscripción o entrega.</w:t>
      </w:r>
      <w:r>
        <w:br w:type="page"/>
      </w:r>
    </w:p>
    <w:p>
      <w:pPr>
        <w:pStyle w:val="Heading1"/>
        <w:rPr/>
      </w:pPr>
      <w:r>
        <w:rPr/>
        <w:t>13. Integraciones y dependencias internas</w:t>
      </w:r>
    </w:p>
    <w:p>
      <w:pPr>
        <w:pStyle w:val="Heading2"/>
        <w:rPr/>
      </w:pPr>
      <w:r>
        <w:rPr/>
        <w:t>13.1 Módulos de novasis que deben estar antes o en paralelo</w:t>
      </w:r>
    </w:p>
    <w:p>
      <w:pPr>
        <w:pStyle w:val="ListParagraph"/>
        <w:numPr>
          <w:ilvl w:val="0"/>
          <w:numId w:val="1"/>
        </w:numPr>
        <w:spacing w:before="0" w:after="60"/>
        <w:rPr/>
      </w:pPr>
      <w:r>
        <w:rPr/>
        <w:t>Contabilidad general con plan de cuentas y asientos automáticos (dependencia dura).</w:t>
      </w:r>
    </w:p>
    <w:p>
      <w:pPr>
        <w:pStyle w:val="ListParagraph"/>
        <w:numPr>
          <w:ilvl w:val="0"/>
          <w:numId w:val="1"/>
        </w:numPr>
        <w:spacing w:before="0" w:after="60"/>
        <w:rPr/>
      </w:pPr>
      <w:r>
        <w:rPr/>
        <w:t>Libros IVA y Hechauka (dependencia dura).</w:t>
      </w:r>
    </w:p>
    <w:p>
      <w:pPr>
        <w:pStyle w:val="ListParagraph"/>
        <w:numPr>
          <w:ilvl w:val="0"/>
          <w:numId w:val="1"/>
        </w:numPr>
        <w:spacing w:before="0" w:after="60"/>
        <w:rPr/>
      </w:pPr>
      <w:r>
        <w:rPr/>
        <w:t>Tesorería con programación de pagos y manejo de USD (dependencia fuerte).</w:t>
      </w:r>
    </w:p>
    <w:p>
      <w:pPr>
        <w:pStyle w:val="ListParagraph"/>
        <w:numPr>
          <w:ilvl w:val="0"/>
          <w:numId w:val="1"/>
        </w:numPr>
        <w:spacing w:before="0" w:after="60"/>
        <w:rPr/>
      </w:pPr>
      <w:r>
        <w:rPr/>
        <w:t>Inventario multi-depósito con costo promedio ponderado (dependencia dura).</w:t>
      </w:r>
    </w:p>
    <w:p>
      <w:pPr>
        <w:pStyle w:val="ListParagraph"/>
        <w:numPr>
          <w:ilvl w:val="0"/>
          <w:numId w:val="1"/>
        </w:numPr>
        <w:spacing w:before="0" w:after="60"/>
        <w:rPr/>
      </w:pPr>
      <w:r>
        <w:rPr/>
        <w:t>Ventas con facturación electrónica SIFEN (ya cubierto por novasis actual).</w:t>
      </w:r>
    </w:p>
    <w:p>
      <w:pPr>
        <w:pStyle w:val="Heading2"/>
        <w:rPr/>
      </w:pPr>
      <w:r>
        <w:rPr/>
        <w:t>13.2 Externos</w:t>
      </w:r>
    </w:p>
    <w:p>
      <w:pPr>
        <w:pStyle w:val="ListParagraph"/>
        <w:numPr>
          <w:ilvl w:val="0"/>
          <w:numId w:val="1"/>
        </w:numPr>
        <w:spacing w:before="0" w:after="60"/>
        <w:rPr/>
      </w:pPr>
      <w:r>
        <w:rPr/>
        <w:t>Cotización de cierre del BCP: carga manual diaria o API pública del BCP si está disponible.</w:t>
      </w:r>
    </w:p>
    <w:p>
      <w:pPr>
        <w:pStyle w:val="ListParagraph"/>
        <w:numPr>
          <w:ilvl w:val="0"/>
          <w:numId w:val="1"/>
        </w:numPr>
        <w:spacing w:before="0" w:after="60"/>
        <w:rPr/>
      </w:pPr>
      <w:r>
        <w:rPr/>
        <w:t>Packing lists y facturas de proveedores: importación por plantilla Excel/CSV.</w:t>
      </w:r>
    </w:p>
    <w:p>
      <w:pPr>
        <w:pStyle w:val="ListParagraph"/>
        <w:numPr>
          <w:ilvl w:val="0"/>
          <w:numId w:val="1"/>
        </w:numPr>
        <w:spacing w:before="0" w:after="60"/>
        <w:rPr/>
      </w:pPr>
      <w:r>
        <w:rPr/>
        <w:t>Despachante aduanero: carga manual desde la liquidación PDF. Fase posterior: parser automático si el despachante entrega en XML.</w:t>
      </w:r>
    </w:p>
    <w:p>
      <w:pPr>
        <w:pStyle w:val="ListParagraph"/>
        <w:numPr>
          <w:ilvl w:val="0"/>
          <w:numId w:val="1"/>
        </w:numPr>
        <w:spacing w:before="0" w:after="60"/>
        <w:rPr/>
      </w:pPr>
      <w:r>
        <w:rPr/>
        <w:t>Escribanías: sin integración; se emite orden de trabajo en PDF y se registra la devolución manualmente.</w:t>
      </w:r>
      <w:r>
        <w:br w:type="page"/>
      </w:r>
    </w:p>
    <w:p>
      <w:pPr>
        <w:pStyle w:val="Heading1"/>
        <w:rPr/>
      </w:pPr>
      <w:r>
        <w:rPr/>
        <w:t>14. Requerimientos priorizados</w:t>
      </w:r>
    </w:p>
    <w:p>
      <w:pPr>
        <w:pStyle w:val="Normal"/>
        <w:spacing w:before="0" w:after="120"/>
        <w:jc w:val="both"/>
        <w:rPr/>
      </w:pPr>
      <w:r>
        <w:rPr/>
        <w:t>Los requerimientos se clasifican en P0 (imprescindibles para salir a producción), P1 (alto valor, segundo release) y P2 (visión de largo plazo, afecta diseño pero no se construye aún).</w:t>
      </w:r>
    </w:p>
    <w:p>
      <w:pPr>
        <w:pStyle w:val="Heading2"/>
        <w:rPr/>
      </w:pPr>
      <w:r>
        <w:rPr/>
        <w:t>14.1 Requerimientos P0 — Mínimo viable</w:t>
      </w:r>
    </w:p>
    <w:tbl>
      <w:tblPr>
        <w:tblW w:w="9026" w:type="dxa"/>
        <w:jc w:val="left"/>
        <w:tblInd w:w="0" w:type="dxa"/>
        <w:tblLayout w:type="fixed"/>
        <w:tblCellMar>
          <w:top w:w="100" w:type="dxa"/>
          <w:left w:w="140" w:type="dxa"/>
          <w:bottom w:w="100" w:type="dxa"/>
          <w:right w:w="140" w:type="dxa"/>
        </w:tblCellMar>
        <w:tblLook w:val="0000" w:noHBand="0" w:noVBand="0" w:firstColumn="0" w:lastRow="0" w:lastColumn="0" w:firstRow="0"/>
      </w:tblPr>
      <w:tblGrid>
        <w:gridCol w:w="799"/>
        <w:gridCol w:w="5200"/>
        <w:gridCol w:w="1500"/>
        <w:gridCol w:w="1526"/>
      </w:tblGrid>
      <w:tr>
        <w:trPr>
          <w:tblHeader w:val="true"/>
        </w:trPr>
        <w:tc>
          <w:tcPr>
            <w:tcW w:w="799"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ID</w:t>
            </w:r>
          </w:p>
        </w:tc>
        <w:tc>
          <w:tcPr>
            <w:tcW w:w="5200"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Requerimiento</w:t>
            </w:r>
          </w:p>
        </w:tc>
        <w:tc>
          <w:tcPr>
            <w:tcW w:w="1500"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Aplica</w:t>
            </w:r>
          </w:p>
        </w:tc>
        <w:tc>
          <w:tcPr>
            <w:tcW w:w="1526"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Criterio de aceptación</w:t>
            </w:r>
          </w:p>
        </w:tc>
      </w:tr>
      <w:tr>
        <w:trPr/>
        <w:tc>
          <w:tcPr>
            <w:tcW w:w="7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P0-01</w:t>
            </w:r>
          </w:p>
        </w:tc>
        <w:tc>
          <w:tcPr>
            <w:tcW w:w="52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Alta de embarque con cabecera, estado y bitácora</w:t>
            </w:r>
          </w:p>
        </w:tc>
        <w:tc>
          <w:tcPr>
            <w:tcW w:w="15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Ambos</w:t>
            </w:r>
          </w:p>
        </w:tc>
        <w:tc>
          <w:tcPr>
            <w:tcW w:w="1526"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Ver 15.1</w:t>
            </w:r>
          </w:p>
        </w:tc>
      </w:tr>
      <w:tr>
        <w:trPr/>
        <w:tc>
          <w:tcPr>
            <w:tcW w:w="7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P0-02</w:t>
            </w:r>
          </w:p>
        </w:tc>
        <w:tc>
          <w:tcPr>
            <w:tcW w:w="52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Carga de ítems autos (chasis) y consumo masivo (SKU)</w:t>
            </w:r>
          </w:p>
        </w:tc>
        <w:tc>
          <w:tcPr>
            <w:tcW w:w="15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Ambos</w:t>
            </w:r>
          </w:p>
        </w:tc>
        <w:tc>
          <w:tcPr>
            <w:tcW w:w="1526"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Ver 15.2</w:t>
            </w:r>
          </w:p>
        </w:tc>
      </w:tr>
      <w:tr>
        <w:trPr/>
        <w:tc>
          <w:tcPr>
            <w:tcW w:w="7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P0-03</w:t>
            </w:r>
          </w:p>
        </w:tc>
        <w:tc>
          <w:tcPr>
            <w:tcW w:w="52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Carga de componentes de costo con moneda y criterio de prorrateo</w:t>
            </w:r>
          </w:p>
        </w:tc>
        <w:tc>
          <w:tcPr>
            <w:tcW w:w="15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Ambos</w:t>
            </w:r>
          </w:p>
        </w:tc>
        <w:tc>
          <w:tcPr>
            <w:tcW w:w="1526"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Ver 15.3</w:t>
            </w:r>
          </w:p>
        </w:tc>
      </w:tr>
      <w:tr>
        <w:trPr/>
        <w:tc>
          <w:tcPr>
            <w:tcW w:w="7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P0-04</w:t>
            </w:r>
          </w:p>
        </w:tc>
        <w:tc>
          <w:tcPr>
            <w:tcW w:w="52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Cálculo de costo unitario según fórmula §8.2</w:t>
            </w:r>
          </w:p>
        </w:tc>
        <w:tc>
          <w:tcPr>
            <w:tcW w:w="15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Ambos</w:t>
            </w:r>
          </w:p>
        </w:tc>
        <w:tc>
          <w:tcPr>
            <w:tcW w:w="1526"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Ver 15.4</w:t>
            </w:r>
          </w:p>
        </w:tc>
      </w:tr>
      <w:tr>
        <w:trPr/>
        <w:tc>
          <w:tcPr>
            <w:tcW w:w="7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P0-05</w:t>
            </w:r>
          </w:p>
        </w:tc>
        <w:tc>
          <w:tcPr>
            <w:tcW w:w="52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Cierre de despacho con liquidación impositiva</w:t>
            </w:r>
          </w:p>
        </w:tc>
        <w:tc>
          <w:tcPr>
            <w:tcW w:w="15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Ambos</w:t>
            </w:r>
          </w:p>
        </w:tc>
        <w:tc>
          <w:tcPr>
            <w:tcW w:w="1526"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Ver 15.5</w:t>
            </w:r>
          </w:p>
        </w:tc>
      </w:tr>
      <w:tr>
        <w:trPr/>
        <w:tc>
          <w:tcPr>
            <w:tcW w:w="7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P0-06</w:t>
            </w:r>
          </w:p>
        </w:tc>
        <w:tc>
          <w:tcPr>
            <w:tcW w:w="52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Registro de "gastos extras de gestión" como concepto genérico</w:t>
            </w:r>
          </w:p>
        </w:tc>
        <w:tc>
          <w:tcPr>
            <w:tcW w:w="15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Ambos</w:t>
            </w:r>
          </w:p>
        </w:tc>
        <w:tc>
          <w:tcPr>
            <w:tcW w:w="1526"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Ver 15.6</w:t>
            </w:r>
          </w:p>
        </w:tc>
      </w:tr>
      <w:tr>
        <w:trPr/>
        <w:tc>
          <w:tcPr>
            <w:tcW w:w="7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P0-07</w:t>
            </w:r>
          </w:p>
        </w:tc>
        <w:tc>
          <w:tcPr>
            <w:tcW w:w="52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Multi-moneda USD / Gs. con cotización por operación</w:t>
            </w:r>
          </w:p>
        </w:tc>
        <w:tc>
          <w:tcPr>
            <w:tcW w:w="15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Ambos</w:t>
            </w:r>
          </w:p>
        </w:tc>
        <w:tc>
          <w:tcPr>
            <w:tcW w:w="1526"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Ver 15.7</w:t>
            </w:r>
          </w:p>
        </w:tc>
      </w:tr>
      <w:tr>
        <w:trPr/>
        <w:tc>
          <w:tcPr>
            <w:tcW w:w="7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P0-08</w:t>
            </w:r>
          </w:p>
        </w:tc>
        <w:tc>
          <w:tcPr>
            <w:tcW w:w="52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Mapeo de SKUs con memoria</w:t>
            </w:r>
          </w:p>
        </w:tc>
        <w:tc>
          <w:tcPr>
            <w:tcW w:w="15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Consumo</w:t>
            </w:r>
          </w:p>
        </w:tc>
        <w:tc>
          <w:tcPr>
            <w:tcW w:w="1526"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Ver 15.8</w:t>
            </w:r>
          </w:p>
        </w:tc>
      </w:tr>
      <w:tr>
        <w:trPr/>
        <w:tc>
          <w:tcPr>
            <w:tcW w:w="7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P0-09</w:t>
            </w:r>
          </w:p>
        </w:tc>
        <w:tc>
          <w:tcPr>
            <w:tcW w:w="52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Maestro de escribanías con tarifario</w:t>
            </w:r>
          </w:p>
        </w:tc>
        <w:tc>
          <w:tcPr>
            <w:tcW w:w="15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Autos</w:t>
            </w:r>
          </w:p>
        </w:tc>
        <w:tc>
          <w:tcPr>
            <w:tcW w:w="1526"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Ver 15.9</w:t>
            </w:r>
          </w:p>
        </w:tc>
      </w:tr>
      <w:tr>
        <w:trPr/>
        <w:tc>
          <w:tcPr>
            <w:tcW w:w="7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P0-10</w:t>
            </w:r>
          </w:p>
        </w:tc>
        <w:tc>
          <w:tcPr>
            <w:tcW w:w="52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Trámite de transferencia con estados y SLA</w:t>
            </w:r>
          </w:p>
        </w:tc>
        <w:tc>
          <w:tcPr>
            <w:tcW w:w="15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Autos</w:t>
            </w:r>
          </w:p>
        </w:tc>
        <w:tc>
          <w:tcPr>
            <w:tcW w:w="1526"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Ver 15.10</w:t>
            </w:r>
          </w:p>
        </w:tc>
      </w:tr>
      <w:tr>
        <w:trPr/>
        <w:tc>
          <w:tcPr>
            <w:tcW w:w="7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P0-11</w:t>
            </w:r>
          </w:p>
        </w:tc>
        <w:tc>
          <w:tcPr>
            <w:tcW w:w="52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Integración contable al cierre de despacho</w:t>
            </w:r>
          </w:p>
        </w:tc>
        <w:tc>
          <w:tcPr>
            <w:tcW w:w="15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Ambos</w:t>
            </w:r>
          </w:p>
        </w:tc>
        <w:tc>
          <w:tcPr>
            <w:tcW w:w="1526"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Ver 15.11</w:t>
            </w:r>
          </w:p>
        </w:tc>
      </w:tr>
      <w:tr>
        <w:trPr/>
        <w:tc>
          <w:tcPr>
            <w:tcW w:w="7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P0-12</w:t>
            </w:r>
          </w:p>
        </w:tc>
        <w:tc>
          <w:tcPr>
            <w:tcW w:w="52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Reporte de liquidación por embarque (PDF/XLSX)</w:t>
            </w:r>
          </w:p>
        </w:tc>
        <w:tc>
          <w:tcPr>
            <w:tcW w:w="15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Ambos</w:t>
            </w:r>
          </w:p>
        </w:tc>
        <w:tc>
          <w:tcPr>
            <w:tcW w:w="1526"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Ver 15.12</w:t>
            </w:r>
          </w:p>
        </w:tc>
      </w:tr>
    </w:tbl>
    <w:p>
      <w:pPr>
        <w:pStyle w:val="Normal"/>
        <w:spacing w:before="0" w:after="200"/>
        <w:rPr/>
      </w:pPr>
      <w:r>
        <w:rPr/>
      </w:r>
    </w:p>
    <w:p>
      <w:pPr>
        <w:pStyle w:val="Heading2"/>
        <w:rPr/>
      </w:pPr>
      <w:r>
        <w:rPr/>
        <w:t>14.2 Requerimientos P1 — Alto valor, segundo release</w:t>
      </w:r>
    </w:p>
    <w:p>
      <w:pPr>
        <w:pStyle w:val="ListParagraph"/>
        <w:numPr>
          <w:ilvl w:val="0"/>
          <w:numId w:val="1"/>
        </w:numPr>
        <w:spacing w:before="0" w:after="60"/>
        <w:rPr/>
      </w:pPr>
      <w:r>
        <w:rPr/>
        <w:t>Recostificación automática ante gastos tardíos (trigger + historial).</w:t>
      </w:r>
    </w:p>
    <w:p>
      <w:pPr>
        <w:pStyle w:val="ListParagraph"/>
        <w:numPr>
          <w:ilvl w:val="0"/>
          <w:numId w:val="1"/>
        </w:numPr>
        <w:spacing w:before="0" w:after="60"/>
        <w:rPr/>
      </w:pPr>
      <w:r>
        <w:rPr/>
        <w:t>Panel de escribanías con SLA y alertas.</w:t>
      </w:r>
    </w:p>
    <w:p>
      <w:pPr>
        <w:pStyle w:val="ListParagraph"/>
        <w:numPr>
          <w:ilvl w:val="0"/>
          <w:numId w:val="1"/>
        </w:numPr>
        <w:spacing w:before="0" w:after="60"/>
        <w:rPr/>
      </w:pPr>
      <w:r>
        <w:rPr/>
        <w:t>Dashboard de costeo en vivo con comparativas mensuales.</w:t>
      </w:r>
    </w:p>
    <w:p>
      <w:pPr>
        <w:pStyle w:val="ListParagraph"/>
        <w:numPr>
          <w:ilvl w:val="0"/>
          <w:numId w:val="1"/>
        </w:numPr>
        <w:spacing w:before="0" w:after="60"/>
        <w:rPr/>
      </w:pPr>
      <w:r>
        <w:rPr/>
        <w:t>Parser de liquidación del despachante cuando viene en PDF con layout estándar.</w:t>
      </w:r>
    </w:p>
    <w:p>
      <w:pPr>
        <w:pStyle w:val="ListParagraph"/>
        <w:numPr>
          <w:ilvl w:val="0"/>
          <w:numId w:val="1"/>
        </w:numPr>
        <w:spacing w:before="0" w:after="60"/>
        <w:rPr/>
      </w:pPr>
      <w:r>
        <w:rPr/>
        <w:t>Control de margen mínimo por ítem con alerta a comercial.</w:t>
      </w:r>
    </w:p>
    <w:p>
      <w:pPr>
        <w:pStyle w:val="ListParagraph"/>
        <w:numPr>
          <w:ilvl w:val="0"/>
          <w:numId w:val="1"/>
        </w:numPr>
        <w:spacing w:before="0" w:after="60"/>
        <w:rPr/>
      </w:pPr>
      <w:r>
        <w:rPr/>
        <w:t>Multi-depósito por perfil (depósito aduanero vs. depósito interno).</w:t>
      </w:r>
    </w:p>
    <w:p>
      <w:pPr>
        <w:pStyle w:val="ListParagraph"/>
        <w:numPr>
          <w:ilvl w:val="0"/>
          <w:numId w:val="1"/>
        </w:numPr>
        <w:spacing w:before="0" w:after="60"/>
        <w:rPr/>
      </w:pPr>
      <w:r>
        <w:rPr/>
        <w:t>Integración con API de cotización BCP para cargar automáticamente el tipo de cambio del día.</w:t>
      </w:r>
    </w:p>
    <w:p>
      <w:pPr>
        <w:pStyle w:val="Heading2"/>
        <w:rPr/>
      </w:pPr>
      <w:r>
        <w:rPr/>
        <w:t>14.3 Requerimientos P2 — Visión de largo plazo</w:t>
      </w:r>
    </w:p>
    <w:p>
      <w:pPr>
        <w:pStyle w:val="ListParagraph"/>
        <w:numPr>
          <w:ilvl w:val="0"/>
          <w:numId w:val="1"/>
        </w:numPr>
        <w:spacing w:before="0" w:after="60"/>
        <w:rPr/>
      </w:pPr>
      <w:r>
        <w:rPr/>
        <w:t>Trazabilidad de contenedor en tiempo real (AIS marítimo).</w:t>
      </w:r>
    </w:p>
    <w:p>
      <w:pPr>
        <w:pStyle w:val="ListParagraph"/>
        <w:numPr>
          <w:ilvl w:val="0"/>
          <w:numId w:val="1"/>
        </w:numPr>
        <w:spacing w:before="0" w:after="60"/>
        <w:rPr/>
      </w:pPr>
      <w:r>
        <w:rPr/>
        <w:t>Subastas Japón/Korea en tiempo real con puja desde el ERP.</w:t>
      </w:r>
    </w:p>
    <w:p>
      <w:pPr>
        <w:pStyle w:val="ListParagraph"/>
        <w:numPr>
          <w:ilvl w:val="0"/>
          <w:numId w:val="1"/>
        </w:numPr>
        <w:spacing w:before="0" w:after="60"/>
        <w:rPr/>
      </w:pPr>
      <w:r>
        <w:rPr/>
        <w:t>Marketplace embebido de vehículos usados con publicación automática al habilitar stock.</w:t>
      </w:r>
    </w:p>
    <w:p>
      <w:pPr>
        <w:pStyle w:val="ListParagraph"/>
        <w:numPr>
          <w:ilvl w:val="0"/>
          <w:numId w:val="1"/>
        </w:numPr>
        <w:spacing w:before="0" w:after="60"/>
        <w:rPr/>
      </w:pPr>
      <w:r>
        <w:rPr/>
        <w:t>E-Firma con escribanía (firma digital del instrumento).</w:t>
      </w:r>
    </w:p>
    <w:p>
      <w:pPr>
        <w:pStyle w:val="ListParagraph"/>
        <w:numPr>
          <w:ilvl w:val="0"/>
          <w:numId w:val="1"/>
        </w:numPr>
        <w:spacing w:before="0" w:after="60"/>
        <w:rPr/>
      </w:pPr>
      <w:r>
        <w:rPr/>
        <w:t>BI con machine learning para sugerir criterio de prorrateo óptimo por tipo de producto.</w:t>
      </w:r>
    </w:p>
    <w:p>
      <w:pPr>
        <w:pStyle w:val="ListParagraph"/>
        <w:numPr>
          <w:ilvl w:val="0"/>
          <w:numId w:val="1"/>
        </w:numPr>
        <w:spacing w:before="0" w:after="60"/>
        <w:rPr/>
      </w:pPr>
      <w:r>
        <w:rPr/>
        <w:t>Integración con operadores logísticos marítimos para ETA actualizada y documentos.</w:t>
      </w:r>
      <w:r>
        <w:br w:type="page"/>
      </w:r>
    </w:p>
    <w:p>
      <w:pPr>
        <w:pStyle w:val="Heading1"/>
        <w:rPr/>
      </w:pPr>
      <w:r>
        <w:rPr/>
        <w:t>15. Criterios de aceptación por requerimiento P0</w:t>
      </w:r>
    </w:p>
    <w:p>
      <w:pPr>
        <w:pStyle w:val="Heading3"/>
        <w:rPr/>
      </w:pPr>
      <w:r>
        <w:rPr/>
        <w:t>15.1 P0-01 — Alta de embarque</w:t>
      </w:r>
    </w:p>
    <w:p>
      <w:pPr>
        <w:pStyle w:val="ListParagraph"/>
        <w:numPr>
          <w:ilvl w:val="0"/>
          <w:numId w:val="1"/>
        </w:numPr>
        <w:spacing w:before="0" w:after="60"/>
        <w:rPr/>
      </w:pPr>
      <w:r>
        <w:rPr/>
        <w:t>Dado un usuario con rol Operativo, cuando crea un embarque con cabecera mínima, entonces el embarque queda en estado Borrador con bitácora inicial.</w:t>
      </w:r>
    </w:p>
    <w:p>
      <w:pPr>
        <w:pStyle w:val="ListParagraph"/>
        <w:numPr>
          <w:ilvl w:val="0"/>
          <w:numId w:val="1"/>
        </w:numPr>
        <w:spacing w:before="0" w:after="60"/>
        <w:rPr/>
      </w:pPr>
      <w:r>
        <w:rPr/>
        <w:t>Dado un embarque sin ítems, cuando el usuario intenta cerrar despacho, entonces el sistema bloquea la acción y exige al menos un ítem.</w:t>
      </w:r>
    </w:p>
    <w:p>
      <w:pPr>
        <w:pStyle w:val="Heading3"/>
        <w:rPr/>
      </w:pPr>
      <w:r>
        <w:rPr/>
        <w:t>15.2 P0-02 — Carga de ítems</w:t>
      </w:r>
    </w:p>
    <w:p>
      <w:pPr>
        <w:pStyle w:val="ListParagraph"/>
        <w:numPr>
          <w:ilvl w:val="0"/>
          <w:numId w:val="1"/>
        </w:numPr>
        <w:spacing w:before="0" w:after="60"/>
        <w:rPr/>
      </w:pPr>
      <w:r>
        <w:rPr/>
        <w:t>Dado un embarque perfil AUTOS, cuando se carga un chasis repetido, entonces el sistema rechaza la carga con mensaje claro y referencia al embarque previo.</w:t>
      </w:r>
    </w:p>
    <w:p>
      <w:pPr>
        <w:pStyle w:val="ListParagraph"/>
        <w:numPr>
          <w:ilvl w:val="0"/>
          <w:numId w:val="1"/>
        </w:numPr>
        <w:spacing w:before="0" w:after="60"/>
        <w:rPr/>
      </w:pPr>
      <w:r>
        <w:rPr/>
        <w:t>Dado un embarque perfil CONSUMO_MASIVO, cuando se sube un Excel con 300 líneas, entonces el sistema parsea, muestra warnings por línea y permite continuar con las válidas.</w:t>
      </w:r>
    </w:p>
    <w:p>
      <w:pPr>
        <w:pStyle w:val="Heading3"/>
        <w:rPr/>
      </w:pPr>
      <w:r>
        <w:rPr/>
        <w:t>15.3 P0-03 — Componentes de costo</w:t>
      </w:r>
    </w:p>
    <w:p>
      <w:pPr>
        <w:pStyle w:val="ListParagraph"/>
        <w:numPr>
          <w:ilvl w:val="0"/>
          <w:numId w:val="1"/>
        </w:numPr>
        <w:spacing w:before="0" w:after="60"/>
        <w:rPr/>
      </w:pPr>
      <w:r>
        <w:rPr/>
        <w:t>Dado un componente con moneda USD, cuando se ingresa el importe, entonces el sistema requiere cotización y calcula el importe en Gs.</w:t>
      </w:r>
    </w:p>
    <w:p>
      <w:pPr>
        <w:pStyle w:val="ListParagraph"/>
        <w:numPr>
          <w:ilvl w:val="0"/>
          <w:numId w:val="1"/>
        </w:numPr>
        <w:spacing w:before="0" w:after="60"/>
        <w:rPr/>
      </w:pPr>
      <w:r>
        <w:rPr/>
        <w:t>Dado un componente compartido sin criterio de prorrateo, cuando se intenta guardar, entonces el sistema exige el criterio.</w:t>
      </w:r>
    </w:p>
    <w:p>
      <w:pPr>
        <w:pStyle w:val="Heading3"/>
        <w:rPr/>
      </w:pPr>
      <w:r>
        <w:rPr/>
        <w:t>15.4 P0-04 — Cálculo de costo unitario</w:t>
      </w:r>
    </w:p>
    <w:p>
      <w:pPr>
        <w:pStyle w:val="ListParagraph"/>
        <w:numPr>
          <w:ilvl w:val="0"/>
          <w:numId w:val="1"/>
        </w:numPr>
        <w:spacing w:before="0" w:after="60"/>
        <w:rPr/>
      </w:pPr>
      <w:r>
        <w:rPr/>
        <w:t>Dado un embarque con componentes directos y compartidos, cuando se calcula el costo, entonces el resultado por ítem debe coincidir con el cálculo manual del test de regresión § Anexo A.</w:t>
      </w:r>
    </w:p>
    <w:p>
      <w:pPr>
        <w:pStyle w:val="ListParagraph"/>
        <w:numPr>
          <w:ilvl w:val="0"/>
          <w:numId w:val="1"/>
        </w:numPr>
        <w:spacing w:before="0" w:after="60"/>
        <w:rPr/>
      </w:pPr>
      <w:r>
        <w:rPr/>
        <w:t>Dado un cambio en cualquier componente, cuando se guarda, entonces el costo unitario se recalcula en memoria y se actualiza en pantalla en menos de 2 segundos para embarques de hasta 500 ítems.</w:t>
      </w:r>
    </w:p>
    <w:p>
      <w:pPr>
        <w:pStyle w:val="Heading3"/>
        <w:rPr/>
      </w:pPr>
      <w:r>
        <w:rPr/>
        <w:t>15.5 P0-05 — Cierre de despacho</w:t>
      </w:r>
    </w:p>
    <w:p>
      <w:pPr>
        <w:pStyle w:val="ListParagraph"/>
        <w:numPr>
          <w:ilvl w:val="0"/>
          <w:numId w:val="1"/>
        </w:numPr>
        <w:spacing w:before="0" w:after="60"/>
        <w:rPr/>
      </w:pPr>
      <w:r>
        <w:rPr/>
        <w:t>Dado un embarque en estado Arribado, cuando se registra despacho y se ingresan todos los impuestos, entonces el estado pasa a Despachado y se habilita el sellado del costo.</w:t>
      </w:r>
    </w:p>
    <w:p>
      <w:pPr>
        <w:pStyle w:val="ListParagraph"/>
        <w:numPr>
          <w:ilvl w:val="0"/>
          <w:numId w:val="1"/>
        </w:numPr>
        <w:spacing w:before="0" w:after="60"/>
        <w:rPr/>
      </w:pPr>
      <w:r>
        <w:rPr/>
        <w:t>Dado un despacho con faltante de un impuesto obligatorio según NCM, cuando se intenta cerrar, entonces el sistema bloquea y pide completar.</w:t>
      </w:r>
    </w:p>
    <w:p>
      <w:pPr>
        <w:pStyle w:val="Heading3"/>
        <w:rPr/>
      </w:pPr>
      <w:r>
        <w:rPr/>
        <w:t>15.6 P0-06 — Gastos extras de gestión</w:t>
      </w:r>
    </w:p>
    <w:p>
      <w:pPr>
        <w:pStyle w:val="ListParagraph"/>
        <w:numPr>
          <w:ilvl w:val="0"/>
          <w:numId w:val="1"/>
        </w:numPr>
        <w:spacing w:before="0" w:after="60"/>
        <w:rPr/>
      </w:pPr>
      <w:r>
        <w:rPr/>
        <w:t>Dado un usuario con rol Administración, cuando carga un concepto "Gastos extras de gestión", entonces el sistema requiere un motivo libre y el nombre del usuario autorizante.</w:t>
      </w:r>
    </w:p>
    <w:p>
      <w:pPr>
        <w:pStyle w:val="ListParagraph"/>
        <w:numPr>
          <w:ilvl w:val="0"/>
          <w:numId w:val="1"/>
        </w:numPr>
        <w:spacing w:before="0" w:after="60"/>
        <w:rPr/>
      </w:pPr>
      <w:r>
        <w:rPr/>
        <w:t>Dado un gasto extra cargado, cuando se contabiliza, entonces se imputa a la cuenta de Gastos operativos varios sin comprobante fiscal asociado.</w:t>
      </w:r>
    </w:p>
    <w:p>
      <w:pPr>
        <w:pStyle w:val="ListParagraph"/>
        <w:numPr>
          <w:ilvl w:val="0"/>
          <w:numId w:val="1"/>
        </w:numPr>
        <w:spacing w:before="0" w:after="60"/>
        <w:rPr/>
      </w:pPr>
      <w:r>
        <w:rPr/>
        <w:t>Dado el reporte mensual, cuando se muestra el porcentaje de gastos extras sobre FOB, entonces el dato es visible para los roles Supervisor y Contador únicamente.</w:t>
      </w:r>
    </w:p>
    <w:p>
      <w:pPr>
        <w:pStyle w:val="Heading3"/>
        <w:rPr/>
      </w:pPr>
      <w:r>
        <w:rPr/>
        <w:t>15.7 P0-07 — Multi-moneda</w:t>
      </w:r>
    </w:p>
    <w:p>
      <w:pPr>
        <w:pStyle w:val="ListParagraph"/>
        <w:numPr>
          <w:ilvl w:val="0"/>
          <w:numId w:val="1"/>
        </w:numPr>
        <w:spacing w:before="0" w:after="60"/>
        <w:rPr/>
      </w:pPr>
      <w:r>
        <w:rPr/>
        <w:t>Dado un componente en USD, cuando no se ingresa cotización, entonces el sistema sugiere la cotización del día desde el maestro de cotizaciones.</w:t>
      </w:r>
    </w:p>
    <w:p>
      <w:pPr>
        <w:pStyle w:val="ListParagraph"/>
        <w:numPr>
          <w:ilvl w:val="0"/>
          <w:numId w:val="1"/>
        </w:numPr>
        <w:spacing w:before="0" w:after="60"/>
        <w:rPr/>
      </w:pPr>
      <w:r>
        <w:rPr/>
        <w:t>Dado un embarque sellado, cuando se consultan las cotizaciones usadas, entonces todas están congeladas y el sistema no recalcula aunque cambie el maestro.</w:t>
      </w:r>
    </w:p>
    <w:p>
      <w:pPr>
        <w:pStyle w:val="Heading3"/>
        <w:rPr/>
      </w:pPr>
      <w:r>
        <w:rPr/>
        <w:t>15.8 P0-08 — Mapeo de SKUs</w:t>
      </w:r>
    </w:p>
    <w:p>
      <w:pPr>
        <w:pStyle w:val="ListParagraph"/>
        <w:numPr>
          <w:ilvl w:val="0"/>
          <w:numId w:val="1"/>
        </w:numPr>
        <w:spacing w:before="0" w:after="60"/>
        <w:rPr/>
      </w:pPr>
      <w:r>
        <w:rPr/>
        <w:t>Dado un SKU de proveedor previamente mapeado, cuando llega en un nuevo embarque, entonces el sistema lo resuelve automáticamente al SKU interno sin intervención del usuario.</w:t>
      </w:r>
    </w:p>
    <w:p>
      <w:pPr>
        <w:pStyle w:val="ListParagraph"/>
        <w:numPr>
          <w:ilvl w:val="0"/>
          <w:numId w:val="1"/>
        </w:numPr>
        <w:spacing w:before="0" w:after="60"/>
        <w:rPr/>
      </w:pPr>
      <w:r>
        <w:rPr/>
        <w:t>Dado un SKU nuevo, cuando el matcher no encuentra coincidencia exacta, entonces muestra las 5 sugerencias más probables con score y permite crear uno nuevo con un clic.</w:t>
      </w:r>
    </w:p>
    <w:p>
      <w:pPr>
        <w:pStyle w:val="Heading3"/>
        <w:rPr/>
      </w:pPr>
      <w:r>
        <w:rPr/>
        <w:t>15.9 P0-09 — Maestro de escribanías</w:t>
      </w:r>
    </w:p>
    <w:p>
      <w:pPr>
        <w:pStyle w:val="ListParagraph"/>
        <w:numPr>
          <w:ilvl w:val="0"/>
          <w:numId w:val="1"/>
        </w:numPr>
        <w:spacing w:before="0" w:after="60"/>
        <w:rPr/>
      </w:pPr>
      <w:r>
        <w:rPr/>
        <w:t>Dado un trámite, cuando se selecciona escribanía, entonces el sistema trae el tarifario vigente y exige tipo de trámite.</w:t>
      </w:r>
    </w:p>
    <w:p>
      <w:pPr>
        <w:pStyle w:val="ListParagraph"/>
        <w:numPr>
          <w:ilvl w:val="0"/>
          <w:numId w:val="1"/>
        </w:numPr>
        <w:spacing w:before="0" w:after="60"/>
        <w:rPr/>
      </w:pPr>
      <w:r>
        <w:rPr/>
        <w:t>Dado un tarifario actualizado, cuando existen trámites en curso, entonces los ya asignados mantienen el monto congelado al momento de la asignación.</w:t>
      </w:r>
    </w:p>
    <w:p>
      <w:pPr>
        <w:pStyle w:val="Heading3"/>
        <w:rPr/>
      </w:pPr>
      <w:r>
        <w:rPr/>
        <w:t>15.10 P0-10 — Trámite de transferencia</w:t>
      </w:r>
    </w:p>
    <w:p>
      <w:pPr>
        <w:pStyle w:val="ListParagraph"/>
        <w:numPr>
          <w:ilvl w:val="0"/>
          <w:numId w:val="1"/>
        </w:numPr>
        <w:spacing w:before="0" w:after="60"/>
        <w:rPr/>
      </w:pPr>
      <w:r>
        <w:rPr/>
        <w:t>Dado un trámite en estado Asignado, cuando la escribanía informa firma, entonces el trámite avanza a En curso con fecha.</w:t>
      </w:r>
    </w:p>
    <w:p>
      <w:pPr>
        <w:pStyle w:val="ListParagraph"/>
        <w:numPr>
          <w:ilvl w:val="0"/>
          <w:numId w:val="1"/>
        </w:numPr>
        <w:spacing w:before="0" w:after="60"/>
        <w:rPr/>
      </w:pPr>
      <w:r>
        <w:rPr/>
        <w:t>Dado un trámite con más de 15 días sin movimiento, cuando se abre el panel de escribanías, entonces aparece en listado de alertas.</w:t>
      </w:r>
    </w:p>
    <w:p>
      <w:pPr>
        <w:pStyle w:val="Heading3"/>
        <w:rPr/>
      </w:pPr>
      <w:r>
        <w:rPr/>
        <w:t>15.11 P0-11 — Integración contable</w:t>
      </w:r>
    </w:p>
    <w:p>
      <w:pPr>
        <w:pStyle w:val="ListParagraph"/>
        <w:numPr>
          <w:ilvl w:val="0"/>
          <w:numId w:val="1"/>
        </w:numPr>
        <w:spacing w:before="0" w:after="60"/>
        <w:rPr/>
      </w:pPr>
      <w:r>
        <w:rPr/>
        <w:t>Dado un despacho cerrado, cuando se confirma, entonces se genera el asiento de compra importación con cuentas Mercadería en tránsito, IVA importación, Pasivos con proveedor y despachante.</w:t>
      </w:r>
    </w:p>
    <w:p>
      <w:pPr>
        <w:pStyle w:val="ListParagraph"/>
        <w:numPr>
          <w:ilvl w:val="0"/>
          <w:numId w:val="1"/>
        </w:numPr>
        <w:spacing w:before="0" w:after="60"/>
        <w:rPr/>
      </w:pPr>
      <w:r>
        <w:rPr/>
        <w:t>Dado un asiento generado, cuando se consulta en Contabilidad, entonces referencia el embarque y permite navegación cruzada.</w:t>
      </w:r>
    </w:p>
    <w:p>
      <w:pPr>
        <w:pStyle w:val="Heading3"/>
        <w:rPr/>
      </w:pPr>
      <w:r>
        <w:rPr/>
        <w:t>15.12 P0-12 — Reporte de liquidación</w:t>
      </w:r>
    </w:p>
    <w:p>
      <w:pPr>
        <w:pStyle w:val="ListParagraph"/>
        <w:numPr>
          <w:ilvl w:val="0"/>
          <w:numId w:val="1"/>
        </w:numPr>
        <w:spacing w:before="0" w:after="60"/>
        <w:rPr/>
      </w:pPr>
      <w:r>
        <w:rPr/>
        <w:t>Dado un embarque cerrado, cuando se solicita el reporte, entonces se genera PDF y XLSX con cabecera, detalle de ítems, componentes de costo y costo unitario.</w:t>
      </w:r>
    </w:p>
    <w:p>
      <w:pPr>
        <w:pStyle w:val="ListParagraph"/>
        <w:numPr>
          <w:ilvl w:val="0"/>
          <w:numId w:val="1"/>
        </w:numPr>
        <w:spacing w:before="0" w:after="60"/>
        <w:rPr/>
      </w:pPr>
      <w:r>
        <w:rPr/>
        <w:t>Dado un embarque con gastos extras, cuando se exporta a Excel, entonces el concepto aparece bajo el nombre "Gastos extras de gestión" sin referencias adicionales.</w:t>
      </w:r>
      <w:r>
        <w:br w:type="page"/>
      </w:r>
    </w:p>
    <w:p>
      <w:pPr>
        <w:pStyle w:val="Heading1"/>
        <w:rPr/>
      </w:pPr>
      <w:r>
        <w:rPr/>
        <w:t>16. Métricas de éxito</w:t>
      </w:r>
    </w:p>
    <w:p>
      <w:pPr>
        <w:pStyle w:val="Heading2"/>
        <w:rPr/>
      </w:pPr>
      <w:r>
        <w:rPr/>
        <w:t>16.1 Leading indicators (30 a 60 días post-release)</w:t>
      </w:r>
    </w:p>
    <w:p>
      <w:pPr>
        <w:pStyle w:val="ListParagraph"/>
        <w:numPr>
          <w:ilvl w:val="0"/>
          <w:numId w:val="1"/>
        </w:numPr>
        <w:spacing w:before="0" w:after="60"/>
        <w:rPr/>
      </w:pPr>
      <w:r>
        <w:rPr/>
        <w:t>% de embarques cargados en novasis vs. total del cliente (objetivo: 80%+ al día 60).</w:t>
      </w:r>
    </w:p>
    <w:p>
      <w:pPr>
        <w:pStyle w:val="ListParagraph"/>
        <w:numPr>
          <w:ilvl w:val="0"/>
          <w:numId w:val="1"/>
        </w:numPr>
        <w:spacing w:before="0" w:after="60"/>
        <w:rPr/>
      </w:pPr>
      <w:r>
        <w:rPr/>
        <w:t>Tiempo promedio de cierre de un embarque desde arribo hasta costo unitario final (objetivo: &lt; 72 h).</w:t>
      </w:r>
    </w:p>
    <w:p>
      <w:pPr>
        <w:pStyle w:val="ListParagraph"/>
        <w:numPr>
          <w:ilvl w:val="0"/>
          <w:numId w:val="1"/>
        </w:numPr>
        <w:spacing w:before="0" w:after="60"/>
        <w:rPr/>
      </w:pPr>
      <w:r>
        <w:rPr/>
        <w:t>% de usuarios que dejaron de usar la planilla paralela (objetivo: &gt; 70%).</w:t>
      </w:r>
    </w:p>
    <w:p>
      <w:pPr>
        <w:pStyle w:val="ListParagraph"/>
        <w:numPr>
          <w:ilvl w:val="0"/>
          <w:numId w:val="1"/>
        </w:numPr>
        <w:spacing w:before="0" w:after="60"/>
        <w:rPr/>
      </w:pPr>
      <w:r>
        <w:rPr/>
        <w:t>% de SKUs mapeados automáticamente en el 2º embarque del mismo proveedor (objetivo: &gt; 80%).</w:t>
      </w:r>
    </w:p>
    <w:p>
      <w:pPr>
        <w:pStyle w:val="Heading2"/>
        <w:rPr/>
      </w:pPr>
      <w:r>
        <w:rPr/>
        <w:t>16.2 Lagging indicators (90 a 180 días)</w:t>
      </w:r>
    </w:p>
    <w:p>
      <w:pPr>
        <w:pStyle w:val="ListParagraph"/>
        <w:numPr>
          <w:ilvl w:val="0"/>
          <w:numId w:val="1"/>
        </w:numPr>
        <w:spacing w:before="0" w:after="60"/>
        <w:rPr/>
      </w:pPr>
      <w:r>
        <w:rPr/>
        <w:t>Reducción del tiempo de cierre contable de clientes importadores (objetivo: -40%).</w:t>
      </w:r>
    </w:p>
    <w:p>
      <w:pPr>
        <w:pStyle w:val="ListParagraph"/>
        <w:numPr>
          <w:ilvl w:val="0"/>
          <w:numId w:val="1"/>
        </w:numPr>
        <w:spacing w:before="0" w:after="60"/>
        <w:rPr/>
      </w:pPr>
      <w:r>
        <w:rPr/>
        <w:t>Adopción del módulo Escribanías medido en trámites por mes (objetivo: &gt; 80% de las ventas del perfil autos).</w:t>
      </w:r>
    </w:p>
    <w:p>
      <w:pPr>
        <w:pStyle w:val="ListParagraph"/>
        <w:numPr>
          <w:ilvl w:val="0"/>
          <w:numId w:val="1"/>
        </w:numPr>
        <w:spacing w:before="0" w:after="60"/>
        <w:rPr/>
      </w:pPr>
      <w:r>
        <w:rPr/>
        <w:t>Upsell del módulo a la base instalada de novasis (objetivo: 5 clientes autos + 5 clientes consumo masivo en 6 meses).</w:t>
      </w:r>
    </w:p>
    <w:p>
      <w:pPr>
        <w:pStyle w:val="ListParagraph"/>
        <w:numPr>
          <w:ilvl w:val="0"/>
          <w:numId w:val="1"/>
        </w:numPr>
        <w:spacing w:before="0" w:after="60"/>
        <w:rPr/>
      </w:pPr>
      <w:r>
        <w:rPr/>
        <w:t>Reducción de tickets de soporte sobre costeo manual (objetivo: -60%).</w:t>
      </w:r>
      <w:r>
        <w:br w:type="page"/>
      </w:r>
    </w:p>
    <w:p>
      <w:pPr>
        <w:pStyle w:val="Heading1"/>
        <w:rPr/>
      </w:pPr>
      <w:r>
        <w:rPr/>
        <w:t>17. Preguntas abiertas</w:t>
      </w:r>
    </w:p>
    <w:tbl>
      <w:tblPr>
        <w:tblW w:w="9026" w:type="dxa"/>
        <w:jc w:val="left"/>
        <w:tblInd w:w="0" w:type="dxa"/>
        <w:tblLayout w:type="fixed"/>
        <w:tblCellMar>
          <w:top w:w="100" w:type="dxa"/>
          <w:left w:w="140" w:type="dxa"/>
          <w:bottom w:w="100" w:type="dxa"/>
          <w:right w:w="140" w:type="dxa"/>
        </w:tblCellMar>
        <w:tblLook w:val="0000" w:noHBand="0" w:noVBand="0" w:firstColumn="0" w:lastRow="0" w:lastColumn="0" w:firstRow="0"/>
      </w:tblPr>
      <w:tblGrid>
        <w:gridCol w:w="600"/>
        <w:gridCol w:w="5425"/>
        <w:gridCol w:w="1500"/>
        <w:gridCol w:w="1500"/>
      </w:tblGrid>
      <w:tr>
        <w:trPr>
          <w:tblHeader w:val="true"/>
        </w:trPr>
        <w:tc>
          <w:tcPr>
            <w:tcW w:w="600"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w:t>
            </w:r>
          </w:p>
        </w:tc>
        <w:tc>
          <w:tcPr>
            <w:tcW w:w="5425"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Pregunta</w:t>
            </w:r>
          </w:p>
        </w:tc>
        <w:tc>
          <w:tcPr>
            <w:tcW w:w="1500"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Responsable</w:t>
            </w:r>
          </w:p>
        </w:tc>
        <w:tc>
          <w:tcPr>
            <w:tcW w:w="1500"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Bloqueante</w:t>
            </w:r>
          </w:p>
        </w:tc>
      </w:tr>
      <w:tr>
        <w:trPr/>
        <w:tc>
          <w:tcPr>
            <w:tcW w:w="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Q-01</w:t>
            </w:r>
          </w:p>
        </w:tc>
        <w:tc>
          <w:tcPr>
            <w:tcW w:w="54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¿Usamos costo promedio ponderado o costo específico por chasis para valorización de inventario en autos?</w:t>
            </w:r>
          </w:p>
        </w:tc>
        <w:tc>
          <w:tcPr>
            <w:tcW w:w="15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Contador + Producto</w:t>
            </w:r>
          </w:p>
        </w:tc>
        <w:tc>
          <w:tcPr>
            <w:tcW w:w="15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Sí</w:t>
            </w:r>
          </w:p>
        </w:tc>
      </w:tr>
      <w:tr>
        <w:trPr/>
        <w:tc>
          <w:tcPr>
            <w:tcW w:w="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Q-02</w:t>
            </w:r>
          </w:p>
        </w:tc>
        <w:tc>
          <w:tcPr>
            <w:tcW w:w="542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¿El ISC de vehículos se calcula según tabla SET vigente al año del modelo o a la fecha del despacho?</w:t>
            </w:r>
          </w:p>
        </w:tc>
        <w:tc>
          <w:tcPr>
            <w:tcW w:w="15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Contador</w:t>
            </w:r>
          </w:p>
        </w:tc>
        <w:tc>
          <w:tcPr>
            <w:tcW w:w="15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Sí</w:t>
            </w:r>
          </w:p>
        </w:tc>
      </w:tr>
      <w:tr>
        <w:trPr/>
        <w:tc>
          <w:tcPr>
            <w:tcW w:w="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Q-03</w:t>
            </w:r>
          </w:p>
        </w:tc>
        <w:tc>
          <w:tcPr>
            <w:tcW w:w="54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¿Qué tipo de cambio se usa para IVA importación: el del despacho o el del pago?</w:t>
            </w:r>
          </w:p>
        </w:tc>
        <w:tc>
          <w:tcPr>
            <w:tcW w:w="15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Contador</w:t>
            </w:r>
          </w:p>
        </w:tc>
        <w:tc>
          <w:tcPr>
            <w:tcW w:w="15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Sí</w:t>
            </w:r>
          </w:p>
        </w:tc>
      </w:tr>
      <w:tr>
        <w:trPr/>
        <w:tc>
          <w:tcPr>
            <w:tcW w:w="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Q-04</w:t>
            </w:r>
          </w:p>
        </w:tc>
        <w:tc>
          <w:tcPr>
            <w:tcW w:w="542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¿Multi-moneda soporta algún día EUR para compras ocasionales en Europa?</w:t>
            </w:r>
          </w:p>
        </w:tc>
        <w:tc>
          <w:tcPr>
            <w:tcW w:w="15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Producto</w:t>
            </w:r>
          </w:p>
        </w:tc>
        <w:tc>
          <w:tcPr>
            <w:tcW w:w="15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No</w:t>
            </w:r>
          </w:p>
        </w:tc>
      </w:tr>
      <w:tr>
        <w:trPr/>
        <w:tc>
          <w:tcPr>
            <w:tcW w:w="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Q-05</w:t>
            </w:r>
          </w:p>
        </w:tc>
        <w:tc>
          <w:tcPr>
            <w:tcW w:w="54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¿El trámite de chapa se modela como un tipo de trámite aparte o como un sub-trámite dentro de transferencia?</w:t>
            </w:r>
          </w:p>
        </w:tc>
        <w:tc>
          <w:tcPr>
            <w:tcW w:w="15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Producto</w:t>
            </w:r>
          </w:p>
        </w:tc>
        <w:tc>
          <w:tcPr>
            <w:tcW w:w="15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No</w:t>
            </w:r>
          </w:p>
        </w:tc>
      </w:tr>
      <w:tr>
        <w:trPr/>
        <w:tc>
          <w:tcPr>
            <w:tcW w:w="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Q-06</w:t>
            </w:r>
          </w:p>
        </w:tc>
        <w:tc>
          <w:tcPr>
            <w:tcW w:w="542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¿Quién autoriza la carga de un gasto extra: Administración o Supervisor?</w:t>
            </w:r>
          </w:p>
        </w:tc>
        <w:tc>
          <w:tcPr>
            <w:tcW w:w="15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Negocio</w:t>
            </w:r>
          </w:p>
        </w:tc>
        <w:tc>
          <w:tcPr>
            <w:tcW w:w="15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Sí</w:t>
            </w:r>
          </w:p>
        </w:tc>
      </w:tr>
      <w:tr>
        <w:trPr/>
        <w:tc>
          <w:tcPr>
            <w:tcW w:w="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Q-07</w:t>
            </w:r>
          </w:p>
        </w:tc>
        <w:tc>
          <w:tcPr>
            <w:tcW w:w="5425"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¿Se requiere firma digital del despachante para dar por válida la liquidación importada?</w:t>
            </w:r>
          </w:p>
        </w:tc>
        <w:tc>
          <w:tcPr>
            <w:tcW w:w="15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Legal + Tech</w:t>
            </w:r>
          </w:p>
        </w:tc>
        <w:tc>
          <w:tcPr>
            <w:tcW w:w="15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No</w:t>
            </w:r>
          </w:p>
        </w:tc>
      </w:tr>
      <w:tr>
        <w:trPr/>
        <w:tc>
          <w:tcPr>
            <w:tcW w:w="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Q-08</w:t>
            </w:r>
          </w:p>
        </w:tc>
        <w:tc>
          <w:tcPr>
            <w:tcW w:w="5425"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¿Permitimos múltiples proveedores por SKU (varios fabricantes chinos para el mismo ítem) ya en v1?</w:t>
            </w:r>
          </w:p>
        </w:tc>
        <w:tc>
          <w:tcPr>
            <w:tcW w:w="15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Producto</w:t>
            </w:r>
          </w:p>
        </w:tc>
        <w:tc>
          <w:tcPr>
            <w:tcW w:w="15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No</w:t>
            </w:r>
          </w:p>
        </w:tc>
      </w:tr>
    </w:tbl>
    <w:p>
      <w:pPr>
        <w:pStyle w:val="Heading1"/>
        <w:rPr/>
      </w:pPr>
      <w:r>
        <w:br w:type="page"/>
      </w:r>
      <w:r>
        <w:rPr/>
        <w:t>18. Timeline y fases</w:t>
      </w:r>
    </w:p>
    <w:p>
      <w:pPr>
        <w:pStyle w:val="Normal"/>
        <w:spacing w:before="0" w:after="120"/>
        <w:jc w:val="both"/>
        <w:rPr/>
      </w:pPr>
      <w:r>
        <w:rPr/>
        <w:t>El módulo se libera en cuatro hitos. El P0 está dimensionado para un equipo de 2 desarrolladores fullstack + 1 QA durante cuatro a cinco meses.</w:t>
      </w:r>
    </w:p>
    <w:p>
      <w:pPr>
        <w:pStyle w:val="Heading2"/>
        <w:rPr/>
      </w:pPr>
      <w:r>
        <w:rPr/>
        <w:t>18.1 Fase 1 — Base (mes 1 a 2)</w:t>
      </w:r>
    </w:p>
    <w:p>
      <w:pPr>
        <w:pStyle w:val="ListParagraph"/>
        <w:numPr>
          <w:ilvl w:val="0"/>
          <w:numId w:val="1"/>
        </w:numPr>
        <w:spacing w:before="0" w:after="60"/>
        <w:rPr/>
      </w:pPr>
      <w:r>
        <w:rPr/>
        <w:t>Modelo de datos de embarque, ítems, componentes de costo, cotización.</w:t>
      </w:r>
    </w:p>
    <w:p>
      <w:pPr>
        <w:pStyle w:val="ListParagraph"/>
        <w:numPr>
          <w:ilvl w:val="0"/>
          <w:numId w:val="1"/>
        </w:numPr>
        <w:spacing w:before="0" w:after="60"/>
        <w:rPr/>
      </w:pPr>
      <w:r>
        <w:rPr/>
        <w:t>CRUD básico con alta de embarque, alta de ítems (autos y consumo).</w:t>
      </w:r>
    </w:p>
    <w:p>
      <w:pPr>
        <w:pStyle w:val="ListParagraph"/>
        <w:numPr>
          <w:ilvl w:val="0"/>
          <w:numId w:val="1"/>
        </w:numPr>
        <w:spacing w:before="0" w:after="60"/>
        <w:rPr/>
      </w:pPr>
      <w:r>
        <w:rPr/>
        <w:t>Cálculo de costo unitario simple (FOB directo + compartido por FOB).</w:t>
      </w:r>
    </w:p>
    <w:p>
      <w:pPr>
        <w:pStyle w:val="Heading2"/>
        <w:rPr/>
      </w:pPr>
      <w:r>
        <w:rPr/>
        <w:t>18.2 Fase 2 — Despacho y contabilidad (mes 3)</w:t>
      </w:r>
    </w:p>
    <w:p>
      <w:pPr>
        <w:pStyle w:val="ListParagraph"/>
        <w:numPr>
          <w:ilvl w:val="0"/>
          <w:numId w:val="1"/>
        </w:numPr>
        <w:spacing w:before="0" w:after="60"/>
        <w:rPr/>
      </w:pPr>
      <w:r>
        <w:rPr/>
        <w:t>Liquidación aduanera con impuestos y cálculo por NCM.</w:t>
      </w:r>
    </w:p>
    <w:p>
      <w:pPr>
        <w:pStyle w:val="ListParagraph"/>
        <w:numPr>
          <w:ilvl w:val="0"/>
          <w:numId w:val="1"/>
        </w:numPr>
        <w:spacing w:before="0" w:after="60"/>
        <w:rPr/>
      </w:pPr>
      <w:r>
        <w:rPr/>
        <w:t>Integración contable al cierre del despacho.</w:t>
      </w:r>
    </w:p>
    <w:p>
      <w:pPr>
        <w:pStyle w:val="ListParagraph"/>
        <w:numPr>
          <w:ilvl w:val="0"/>
          <w:numId w:val="1"/>
        </w:numPr>
        <w:spacing w:before="0" w:after="60"/>
        <w:rPr/>
      </w:pPr>
      <w:r>
        <w:rPr/>
        <w:t>Conceptos de costo completos con todos los criterios de prorrateo.</w:t>
      </w:r>
    </w:p>
    <w:p>
      <w:pPr>
        <w:pStyle w:val="ListParagraph"/>
        <w:numPr>
          <w:ilvl w:val="0"/>
          <w:numId w:val="1"/>
        </w:numPr>
        <w:spacing w:before="0" w:after="60"/>
        <w:rPr/>
      </w:pPr>
      <w:r>
        <w:rPr/>
        <w:t>"Gastos extras de gestión" con autorización y cuenta contable específica.</w:t>
      </w:r>
    </w:p>
    <w:p>
      <w:pPr>
        <w:pStyle w:val="Heading2"/>
        <w:rPr/>
      </w:pPr>
      <w:r>
        <w:rPr/>
        <w:t>18.3 Fase 3 — Escribanías y mapeo masivo (mes 4)</w:t>
      </w:r>
    </w:p>
    <w:p>
      <w:pPr>
        <w:pStyle w:val="ListParagraph"/>
        <w:numPr>
          <w:ilvl w:val="0"/>
          <w:numId w:val="1"/>
        </w:numPr>
        <w:spacing w:before="0" w:after="60"/>
        <w:rPr/>
      </w:pPr>
      <w:r>
        <w:rPr/>
        <w:t>Maestro de escribanías y tarifarios.</w:t>
      </w:r>
    </w:p>
    <w:p>
      <w:pPr>
        <w:pStyle w:val="ListParagraph"/>
        <w:numPr>
          <w:ilvl w:val="0"/>
          <w:numId w:val="1"/>
        </w:numPr>
        <w:spacing w:before="0" w:after="60"/>
        <w:rPr/>
      </w:pPr>
      <w:r>
        <w:rPr/>
        <w:t>Trámite de transferencia con estados y alertas de SLA.</w:t>
      </w:r>
    </w:p>
    <w:p>
      <w:pPr>
        <w:pStyle w:val="ListParagraph"/>
        <w:numPr>
          <w:ilvl w:val="0"/>
          <w:numId w:val="1"/>
        </w:numPr>
        <w:spacing w:before="0" w:after="60"/>
        <w:rPr/>
      </w:pPr>
      <w:r>
        <w:rPr/>
        <w:t>Mapeo masivo de SKUs con memoria y matcher.</w:t>
      </w:r>
    </w:p>
    <w:p>
      <w:pPr>
        <w:pStyle w:val="Heading2"/>
        <w:rPr/>
      </w:pPr>
      <w:r>
        <w:rPr/>
        <w:t>18.4 Fase 4 — Reportes y consolidación (mes 5)</w:t>
      </w:r>
    </w:p>
    <w:p>
      <w:pPr>
        <w:pStyle w:val="ListParagraph"/>
        <w:numPr>
          <w:ilvl w:val="0"/>
          <w:numId w:val="1"/>
        </w:numPr>
        <w:spacing w:before="0" w:after="60"/>
        <w:rPr/>
      </w:pPr>
      <w:r>
        <w:rPr/>
        <w:t>Reporte de liquidación de embarque.</w:t>
      </w:r>
    </w:p>
    <w:p>
      <w:pPr>
        <w:pStyle w:val="ListParagraph"/>
        <w:numPr>
          <w:ilvl w:val="0"/>
          <w:numId w:val="1"/>
        </w:numPr>
        <w:spacing w:before="0" w:after="60"/>
        <w:rPr/>
      </w:pPr>
      <w:r>
        <w:rPr/>
        <w:t>Panel de costeo en vivo.</w:t>
      </w:r>
    </w:p>
    <w:p>
      <w:pPr>
        <w:pStyle w:val="ListParagraph"/>
        <w:numPr>
          <w:ilvl w:val="0"/>
          <w:numId w:val="1"/>
        </w:numPr>
        <w:spacing w:before="0" w:after="60"/>
        <w:rPr/>
      </w:pPr>
      <w:r>
        <w:rPr/>
        <w:t>Panel de escribanías.</w:t>
      </w:r>
    </w:p>
    <w:p>
      <w:pPr>
        <w:pStyle w:val="ListParagraph"/>
        <w:numPr>
          <w:ilvl w:val="0"/>
          <w:numId w:val="1"/>
        </w:numPr>
        <w:spacing w:before="0" w:after="60"/>
        <w:rPr/>
      </w:pPr>
      <w:r>
        <w:rPr/>
        <w:t>Recostificación automática (si el tiempo alcanza, sino queda P1).</w:t>
      </w:r>
    </w:p>
    <w:p>
      <w:pPr>
        <w:pStyle w:val="ListParagraph"/>
        <w:numPr>
          <w:ilvl w:val="0"/>
          <w:numId w:val="1"/>
        </w:numPr>
        <w:spacing w:before="0" w:after="60"/>
        <w:rPr/>
      </w:pPr>
      <w:r>
        <w:rPr/>
        <w:t>Piloto con 2 clientes reales — 1 autos, 1 consumo masivo.</w:t>
      </w:r>
    </w:p>
    <w:p>
      <w:pPr>
        <w:pStyle w:val="Normal"/>
        <w:spacing w:before="0" w:after="200"/>
        <w:rPr/>
      </w:pPr>
      <w:r>
        <w:rPr/>
      </w:r>
    </w:p>
    <w:tbl>
      <w:tblPr>
        <w:tblW w:w="9026" w:type="dxa"/>
        <w:jc w:val="left"/>
        <w:tblInd w:w="0" w:type="dxa"/>
        <w:tblLayout w:type="fixed"/>
        <w:tblCellMar>
          <w:top w:w="200" w:type="dxa"/>
          <w:left w:w="280" w:type="dxa"/>
          <w:bottom w:w="200" w:type="dxa"/>
          <w:right w:w="280" w:type="dxa"/>
        </w:tblCellMar>
        <w:tblLook w:val="0000" w:noHBand="0" w:noVBand="0" w:firstColumn="0" w:lastRow="0" w:lastColumn="0" w:firstRow="0"/>
      </w:tblPr>
      <w:tblGrid>
        <w:gridCol w:w="9026"/>
      </w:tblGrid>
      <w:tr>
        <w:trPr/>
        <w:tc>
          <w:tcPr>
            <w:tcW w:w="9026" w:type="dxa"/>
            <w:tcBorders>
              <w:top w:val="single" w:sz="12" w:space="0" w:color="B8892A"/>
              <w:left w:val="single" w:sz="24" w:space="0" w:color="B8892A"/>
              <w:bottom w:val="single" w:sz="4" w:space="0" w:color="CFCABE"/>
              <w:right w:val="single" w:sz="4" w:space="0" w:color="CFCABE"/>
            </w:tcBorders>
            <w:shd w:color="auto" w:fill="F7F2E8" w:val="clear"/>
          </w:tcPr>
          <w:p>
            <w:pPr>
              <w:pStyle w:val="Normal"/>
              <w:spacing w:before="0" w:after="80"/>
              <w:rPr/>
            </w:pPr>
            <w:r>
              <w:rPr>
                <w:b/>
                <w:bCs/>
                <w:color w:val="B8892A"/>
                <w:spacing w:val="30"/>
                <w:sz w:val="18"/>
                <w:szCs w:val="18"/>
              </w:rPr>
              <w:t>RIESGOS PRINCIPALES DEL PLAN</w:t>
            </w:r>
          </w:p>
          <w:p>
            <w:pPr>
              <w:pStyle w:val="Normal"/>
              <w:rPr/>
            </w:pPr>
            <w:r>
              <w:rPr>
                <w:color w:val="0B1F3A"/>
              </w:rPr>
              <w:t>1) La tabla NCM paraguaya tiene actualizaciones semestrales y si no hay una fuente mantenida, el cálculo de arancel queda frágil. 2) Cada despachante entrega la liquidación en formato libre (PDF plano o Excel propio); el parser automático es un riesgo de alcance para fase 2 y probablemente termine en fase 3 o 4. 3) La gestión del tipo de cambio en auditoría contable requiere cerrar la decisión Q-03 antes del kickoff de fase 2.</w:t>
            </w:r>
          </w:p>
        </w:tc>
      </w:tr>
    </w:tbl>
    <w:p>
      <w:pPr>
        <w:pStyle w:val="Heading1"/>
        <w:rPr/>
      </w:pPr>
      <w:r>
        <w:br w:type="page"/>
      </w:r>
      <w:r>
        <w:rPr/>
        <w:t>19. Anexo A — Caso de prueba de costeo</w:t>
      </w:r>
    </w:p>
    <w:p>
      <w:pPr>
        <w:pStyle w:val="Normal"/>
        <w:spacing w:before="0" w:after="120"/>
        <w:jc w:val="both"/>
        <w:rPr/>
      </w:pPr>
      <w:r>
        <w:rPr/>
        <w:t>Este anexo contiene el caso de prueba de referencia que el QA debe reproducir para validar P0-04.</w:t>
      </w:r>
    </w:p>
    <w:p>
      <w:pPr>
        <w:pStyle w:val="Heading2"/>
        <w:rPr/>
      </w:pPr>
      <w:r>
        <w:rPr/>
        <w:t>A.1 Datos del embarque</w:t>
      </w:r>
    </w:p>
    <w:p>
      <w:pPr>
        <w:pStyle w:val="ListParagraph"/>
        <w:numPr>
          <w:ilvl w:val="0"/>
          <w:numId w:val="1"/>
        </w:numPr>
        <w:spacing w:before="0" w:after="60"/>
        <w:rPr/>
      </w:pPr>
      <w:r>
        <w:rPr/>
        <w:t>Origen: Busan, KR. Destino: Villeta, PY. Modalidad: RoRo. BL: TEST-001. Cotización cierre: 7.300 Gs./USD.</w:t>
      </w:r>
    </w:p>
    <w:p>
      <w:pPr>
        <w:pStyle w:val="ListParagraph"/>
        <w:numPr>
          <w:ilvl w:val="0"/>
          <w:numId w:val="1"/>
        </w:numPr>
        <w:spacing w:before="0" w:after="60"/>
        <w:rPr/>
      </w:pPr>
      <w:r>
        <w:rPr/>
        <w:t>Ítems: 2 vehículos — CHASIS-A (FOB 7.500 USD, cc 1.500, año 2019, inland origen 200 USD) y CHASIS-B (FOB 12.000 USD, cc 2.000, año 2021, inland origen 300 USD).</w:t>
      </w:r>
    </w:p>
    <w:p>
      <w:pPr>
        <w:pStyle w:val="Heading2"/>
        <w:rPr/>
      </w:pPr>
      <w:r>
        <w:rPr/>
        <w:t>A.2 Componentes compartidos</w:t>
      </w:r>
    </w:p>
    <w:tbl>
      <w:tblPr>
        <w:tblW w:w="9026" w:type="dxa"/>
        <w:jc w:val="left"/>
        <w:tblInd w:w="0" w:type="dxa"/>
        <w:tblLayout w:type="fixed"/>
        <w:tblCellMar>
          <w:top w:w="100" w:type="dxa"/>
          <w:left w:w="140" w:type="dxa"/>
          <w:bottom w:w="100" w:type="dxa"/>
          <w:right w:w="140" w:type="dxa"/>
        </w:tblCellMar>
        <w:tblLook w:val="0000" w:noHBand="0" w:noVBand="0" w:firstColumn="0" w:lastRow="0" w:lastColumn="0" w:firstRow="0"/>
      </w:tblPr>
      <w:tblGrid>
        <w:gridCol w:w="4400"/>
        <w:gridCol w:w="1599"/>
        <w:gridCol w:w="1600"/>
        <w:gridCol w:w="1426"/>
      </w:tblGrid>
      <w:tr>
        <w:trPr>
          <w:tblHeader w:val="true"/>
        </w:trPr>
        <w:tc>
          <w:tcPr>
            <w:tcW w:w="4400"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Concepto</w:t>
            </w:r>
          </w:p>
        </w:tc>
        <w:tc>
          <w:tcPr>
            <w:tcW w:w="1599"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Importe USD</w:t>
            </w:r>
          </w:p>
        </w:tc>
        <w:tc>
          <w:tcPr>
            <w:tcW w:w="1600"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Importe Gs.</w:t>
            </w:r>
          </w:p>
        </w:tc>
        <w:tc>
          <w:tcPr>
            <w:tcW w:w="1426"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Criterio</w:t>
            </w:r>
          </w:p>
        </w:tc>
      </w:tr>
      <w:tr>
        <w:trPr/>
        <w:tc>
          <w:tcPr>
            <w:tcW w:w="44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Flete marítimo</w:t>
            </w:r>
          </w:p>
        </w:tc>
        <w:tc>
          <w:tcPr>
            <w:tcW w:w="15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1.600</w:t>
            </w:r>
          </w:p>
        </w:tc>
        <w:tc>
          <w:tcPr>
            <w:tcW w:w="1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11.680.000</w:t>
            </w:r>
          </w:p>
        </w:tc>
        <w:tc>
          <w:tcPr>
            <w:tcW w:w="1426"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Unidad</w:t>
            </w:r>
          </w:p>
        </w:tc>
      </w:tr>
      <w:tr>
        <w:trPr/>
        <w:tc>
          <w:tcPr>
            <w:tcW w:w="44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Seguro internacional</w:t>
            </w:r>
          </w:p>
        </w:tc>
        <w:tc>
          <w:tcPr>
            <w:tcW w:w="15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200</w:t>
            </w:r>
          </w:p>
        </w:tc>
        <w:tc>
          <w:tcPr>
            <w:tcW w:w="1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1.460.000</w:t>
            </w:r>
          </w:p>
        </w:tc>
        <w:tc>
          <w:tcPr>
            <w:tcW w:w="1426"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FOB</w:t>
            </w:r>
          </w:p>
        </w:tc>
      </w:tr>
      <w:tr>
        <w:trPr/>
        <w:tc>
          <w:tcPr>
            <w:tcW w:w="44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Despacho y honorarios</w:t>
            </w:r>
          </w:p>
        </w:tc>
        <w:tc>
          <w:tcPr>
            <w:tcW w:w="15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w:t>
            </w:r>
          </w:p>
        </w:tc>
        <w:tc>
          <w:tcPr>
            <w:tcW w:w="1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6.000.000</w:t>
            </w:r>
          </w:p>
        </w:tc>
        <w:tc>
          <w:tcPr>
            <w:tcW w:w="1426"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FOB</w:t>
            </w:r>
          </w:p>
        </w:tc>
      </w:tr>
      <w:tr>
        <w:trPr/>
        <w:tc>
          <w:tcPr>
            <w:tcW w:w="44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Transporte puerto-depósito</w:t>
            </w:r>
          </w:p>
        </w:tc>
        <w:tc>
          <w:tcPr>
            <w:tcW w:w="15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w:t>
            </w:r>
          </w:p>
        </w:tc>
        <w:tc>
          <w:tcPr>
            <w:tcW w:w="1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2.400.000</w:t>
            </w:r>
          </w:p>
        </w:tc>
        <w:tc>
          <w:tcPr>
            <w:tcW w:w="1426"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Unidad</w:t>
            </w:r>
          </w:p>
        </w:tc>
      </w:tr>
      <w:tr>
        <w:trPr/>
        <w:tc>
          <w:tcPr>
            <w:tcW w:w="44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Gastos extras de gestión</w:t>
            </w:r>
          </w:p>
        </w:tc>
        <w:tc>
          <w:tcPr>
            <w:tcW w:w="15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w:t>
            </w:r>
          </w:p>
        </w:tc>
        <w:tc>
          <w:tcPr>
            <w:tcW w:w="1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1.500.000</w:t>
            </w:r>
          </w:p>
        </w:tc>
        <w:tc>
          <w:tcPr>
            <w:tcW w:w="1426"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FOB</w:t>
            </w:r>
          </w:p>
        </w:tc>
      </w:tr>
    </w:tbl>
    <w:p>
      <w:pPr>
        <w:pStyle w:val="Normal"/>
        <w:spacing w:before="0" w:after="180"/>
        <w:rPr/>
      </w:pPr>
      <w:r>
        <w:rPr/>
      </w:r>
    </w:p>
    <w:p>
      <w:pPr>
        <w:pStyle w:val="Heading2"/>
        <w:rPr/>
      </w:pPr>
      <w:r>
        <w:rPr/>
        <w:t>A.3 Resultado esperado</w:t>
      </w:r>
    </w:p>
    <w:tbl>
      <w:tblPr>
        <w:tblW w:w="9026" w:type="dxa"/>
        <w:jc w:val="left"/>
        <w:tblInd w:w="0" w:type="dxa"/>
        <w:tblLayout w:type="fixed"/>
        <w:tblCellMar>
          <w:top w:w="100" w:type="dxa"/>
          <w:left w:w="140" w:type="dxa"/>
          <w:bottom w:w="100" w:type="dxa"/>
          <w:right w:w="140" w:type="dxa"/>
        </w:tblCellMar>
        <w:tblLook w:val="0000" w:noHBand="0" w:noVBand="0" w:firstColumn="0" w:lastRow="0" w:lastColumn="0" w:firstRow="0"/>
      </w:tblPr>
      <w:tblGrid>
        <w:gridCol w:w="1600"/>
        <w:gridCol w:w="1999"/>
        <w:gridCol w:w="2000"/>
        <w:gridCol w:w="2000"/>
        <w:gridCol w:w="1427"/>
      </w:tblGrid>
      <w:tr>
        <w:trPr>
          <w:tblHeader w:val="true"/>
        </w:trPr>
        <w:tc>
          <w:tcPr>
            <w:tcW w:w="1600"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Ítem</w:t>
            </w:r>
          </w:p>
        </w:tc>
        <w:tc>
          <w:tcPr>
            <w:tcW w:w="1999"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Directo Gs.</w:t>
            </w:r>
          </w:p>
        </w:tc>
        <w:tc>
          <w:tcPr>
            <w:tcW w:w="2000"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Compartido Gs.</w:t>
            </w:r>
          </w:p>
        </w:tc>
        <w:tc>
          <w:tcPr>
            <w:tcW w:w="2000"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Costo unitario Gs.</w:t>
            </w:r>
          </w:p>
        </w:tc>
        <w:tc>
          <w:tcPr>
            <w:tcW w:w="1427" w:type="dxa"/>
            <w:tcBorders>
              <w:top w:val="single" w:sz="4" w:space="0" w:color="CFCABE"/>
              <w:left w:val="single" w:sz="4" w:space="0" w:color="CFCABE"/>
              <w:bottom w:val="single" w:sz="4" w:space="0" w:color="CFCABE"/>
              <w:right w:val="single" w:sz="4" w:space="0" w:color="CFCABE"/>
            </w:tcBorders>
            <w:shd w:color="auto" w:fill="0B1F3A" w:val="clear"/>
          </w:tcPr>
          <w:p>
            <w:pPr>
              <w:pStyle w:val="Normal"/>
              <w:rPr/>
            </w:pPr>
            <w:r>
              <w:rPr>
                <w:b/>
                <w:bCs/>
                <w:color w:val="FFFFFF"/>
                <w:sz w:val="20"/>
                <w:szCs w:val="20"/>
              </w:rPr>
              <w:t>FOB share</w:t>
            </w:r>
          </w:p>
        </w:tc>
      </w:tr>
      <w:tr>
        <w:trPr/>
        <w:tc>
          <w:tcPr>
            <w:tcW w:w="16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CHASIS-A</w:t>
            </w:r>
          </w:p>
        </w:tc>
        <w:tc>
          <w:tcPr>
            <w:tcW w:w="1999"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56.210.000</w:t>
            </w:r>
          </w:p>
        </w:tc>
        <w:tc>
          <w:tcPr>
            <w:tcW w:w="20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11.108.564</w:t>
            </w:r>
          </w:p>
        </w:tc>
        <w:tc>
          <w:tcPr>
            <w:tcW w:w="2000"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67.318.564</w:t>
            </w:r>
          </w:p>
        </w:tc>
        <w:tc>
          <w:tcPr>
            <w:tcW w:w="1427" w:type="dxa"/>
            <w:tcBorders>
              <w:top w:val="single" w:sz="4" w:space="0" w:color="CFCABE"/>
              <w:left w:val="single" w:sz="4" w:space="0" w:color="CFCABE"/>
              <w:bottom w:val="single" w:sz="4" w:space="0" w:color="CFCABE"/>
              <w:right w:val="single" w:sz="4" w:space="0" w:color="CFCABE"/>
            </w:tcBorders>
            <w:shd w:color="auto" w:fill="FFFFFF" w:val="clear"/>
            <w:tcMar>
              <w:top w:w="90" w:type="dxa"/>
              <w:bottom w:w="90" w:type="dxa"/>
            </w:tcMar>
            <w:vAlign w:val="center"/>
          </w:tcPr>
          <w:p>
            <w:pPr>
              <w:pStyle w:val="Normal"/>
              <w:rPr/>
            </w:pPr>
            <w:r>
              <w:rPr>
                <w:color w:val="0B1F3A"/>
                <w:sz w:val="20"/>
                <w:szCs w:val="20"/>
              </w:rPr>
              <w:t>38,5%</w:t>
            </w:r>
          </w:p>
        </w:tc>
      </w:tr>
      <w:tr>
        <w:trPr/>
        <w:tc>
          <w:tcPr>
            <w:tcW w:w="16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CHASIS-B</w:t>
            </w:r>
          </w:p>
        </w:tc>
        <w:tc>
          <w:tcPr>
            <w:tcW w:w="1999"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89.790.000</w:t>
            </w:r>
          </w:p>
        </w:tc>
        <w:tc>
          <w:tcPr>
            <w:tcW w:w="20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11.931.436</w:t>
            </w:r>
          </w:p>
        </w:tc>
        <w:tc>
          <w:tcPr>
            <w:tcW w:w="2000"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101.721.436</w:t>
            </w:r>
          </w:p>
        </w:tc>
        <w:tc>
          <w:tcPr>
            <w:tcW w:w="1427" w:type="dxa"/>
            <w:tcBorders>
              <w:top w:val="single" w:sz="4" w:space="0" w:color="CFCABE"/>
              <w:left w:val="single" w:sz="4" w:space="0" w:color="CFCABE"/>
              <w:bottom w:val="single" w:sz="4" w:space="0" w:color="CFCABE"/>
              <w:right w:val="single" w:sz="4" w:space="0" w:color="CFCABE"/>
            </w:tcBorders>
            <w:shd w:color="auto" w:fill="F2EFE7" w:val="clear"/>
            <w:tcMar>
              <w:top w:w="90" w:type="dxa"/>
              <w:bottom w:w="90" w:type="dxa"/>
            </w:tcMar>
            <w:vAlign w:val="center"/>
          </w:tcPr>
          <w:p>
            <w:pPr>
              <w:pStyle w:val="Normal"/>
              <w:rPr/>
            </w:pPr>
            <w:r>
              <w:rPr>
                <w:color w:val="0B1F3A"/>
                <w:sz w:val="20"/>
                <w:szCs w:val="20"/>
              </w:rPr>
              <w:t>61,5%</w:t>
            </w:r>
          </w:p>
        </w:tc>
      </w:tr>
      <w:tr>
        <w:trPr/>
        <w:tc>
          <w:tcPr>
            <w:tcW w:w="1600" w:type="dxa"/>
            <w:tcBorders>
              <w:top w:val="single" w:sz="4" w:space="0" w:color="CFCABE"/>
              <w:left w:val="single" w:sz="4" w:space="0" w:color="CFCABE"/>
              <w:bottom w:val="single" w:sz="4" w:space="0" w:color="CFCABE"/>
              <w:right w:val="single" w:sz="4" w:space="0" w:color="CFCABE"/>
            </w:tcBorders>
            <w:shd w:color="auto" w:fill="F7F2E8" w:val="clear"/>
            <w:tcMar>
              <w:top w:w="90" w:type="dxa"/>
              <w:bottom w:w="90" w:type="dxa"/>
            </w:tcMar>
            <w:vAlign w:val="center"/>
          </w:tcPr>
          <w:p>
            <w:pPr>
              <w:pStyle w:val="Normal"/>
              <w:rPr/>
            </w:pPr>
            <w:r>
              <w:rPr>
                <w:b/>
                <w:bCs/>
                <w:color w:val="0B1F3A"/>
                <w:sz w:val="20"/>
                <w:szCs w:val="20"/>
              </w:rPr>
              <w:t>Total</w:t>
            </w:r>
          </w:p>
        </w:tc>
        <w:tc>
          <w:tcPr>
            <w:tcW w:w="1999" w:type="dxa"/>
            <w:tcBorders>
              <w:top w:val="single" w:sz="4" w:space="0" w:color="CFCABE"/>
              <w:left w:val="single" w:sz="4" w:space="0" w:color="CFCABE"/>
              <w:bottom w:val="single" w:sz="4" w:space="0" w:color="CFCABE"/>
              <w:right w:val="single" w:sz="4" w:space="0" w:color="CFCABE"/>
            </w:tcBorders>
            <w:shd w:color="auto" w:fill="F7F2E8" w:val="clear"/>
            <w:tcMar>
              <w:top w:w="90" w:type="dxa"/>
              <w:bottom w:w="90" w:type="dxa"/>
            </w:tcMar>
            <w:vAlign w:val="center"/>
          </w:tcPr>
          <w:p>
            <w:pPr>
              <w:pStyle w:val="Normal"/>
              <w:rPr/>
            </w:pPr>
            <w:r>
              <w:rPr>
                <w:b/>
                <w:bCs/>
                <w:color w:val="0B1F3A"/>
                <w:sz w:val="20"/>
                <w:szCs w:val="20"/>
              </w:rPr>
              <w:t>146.000.000</w:t>
            </w:r>
          </w:p>
        </w:tc>
        <w:tc>
          <w:tcPr>
            <w:tcW w:w="2000" w:type="dxa"/>
            <w:tcBorders>
              <w:top w:val="single" w:sz="4" w:space="0" w:color="CFCABE"/>
              <w:left w:val="single" w:sz="4" w:space="0" w:color="CFCABE"/>
              <w:bottom w:val="single" w:sz="4" w:space="0" w:color="CFCABE"/>
              <w:right w:val="single" w:sz="4" w:space="0" w:color="CFCABE"/>
            </w:tcBorders>
            <w:shd w:color="auto" w:fill="F7F2E8" w:val="clear"/>
            <w:tcMar>
              <w:top w:w="90" w:type="dxa"/>
              <w:bottom w:w="90" w:type="dxa"/>
            </w:tcMar>
            <w:vAlign w:val="center"/>
          </w:tcPr>
          <w:p>
            <w:pPr>
              <w:pStyle w:val="Normal"/>
              <w:rPr/>
            </w:pPr>
            <w:r>
              <w:rPr>
                <w:b/>
                <w:bCs/>
                <w:color w:val="0B1F3A"/>
                <w:sz w:val="20"/>
                <w:szCs w:val="20"/>
              </w:rPr>
              <w:t>23.040.000</w:t>
            </w:r>
          </w:p>
        </w:tc>
        <w:tc>
          <w:tcPr>
            <w:tcW w:w="2000" w:type="dxa"/>
            <w:tcBorders>
              <w:top w:val="single" w:sz="4" w:space="0" w:color="CFCABE"/>
              <w:left w:val="single" w:sz="4" w:space="0" w:color="CFCABE"/>
              <w:bottom w:val="single" w:sz="4" w:space="0" w:color="CFCABE"/>
              <w:right w:val="single" w:sz="4" w:space="0" w:color="CFCABE"/>
            </w:tcBorders>
            <w:shd w:color="auto" w:fill="F7F2E8" w:val="clear"/>
            <w:tcMar>
              <w:top w:w="90" w:type="dxa"/>
              <w:bottom w:w="90" w:type="dxa"/>
            </w:tcMar>
            <w:vAlign w:val="center"/>
          </w:tcPr>
          <w:p>
            <w:pPr>
              <w:pStyle w:val="Normal"/>
              <w:rPr/>
            </w:pPr>
            <w:r>
              <w:rPr>
                <w:b/>
                <w:bCs/>
                <w:color w:val="0B1F3A"/>
                <w:sz w:val="20"/>
                <w:szCs w:val="20"/>
              </w:rPr>
              <w:t>169.040.000</w:t>
            </w:r>
          </w:p>
        </w:tc>
        <w:tc>
          <w:tcPr>
            <w:tcW w:w="1427" w:type="dxa"/>
            <w:tcBorders>
              <w:top w:val="single" w:sz="4" w:space="0" w:color="CFCABE"/>
              <w:left w:val="single" w:sz="4" w:space="0" w:color="CFCABE"/>
              <w:bottom w:val="single" w:sz="4" w:space="0" w:color="CFCABE"/>
              <w:right w:val="single" w:sz="4" w:space="0" w:color="CFCABE"/>
            </w:tcBorders>
            <w:shd w:color="auto" w:fill="F7F2E8" w:val="clear"/>
            <w:tcMar>
              <w:top w:w="90" w:type="dxa"/>
              <w:bottom w:w="90" w:type="dxa"/>
            </w:tcMar>
            <w:vAlign w:val="center"/>
          </w:tcPr>
          <w:p>
            <w:pPr>
              <w:pStyle w:val="Normal"/>
              <w:rPr/>
            </w:pPr>
            <w:r>
              <w:rPr>
                <w:b/>
                <w:bCs/>
                <w:color w:val="0B1F3A"/>
                <w:sz w:val="20"/>
                <w:szCs w:val="20"/>
              </w:rPr>
              <w:t>100%</w:t>
            </w:r>
          </w:p>
        </w:tc>
      </w:tr>
    </w:tbl>
    <w:p>
      <w:pPr>
        <w:pStyle w:val="Normal"/>
        <w:spacing w:before="0" w:after="180"/>
        <w:rPr/>
      </w:pPr>
      <w:r>
        <w:rPr/>
      </w:r>
    </w:p>
    <w:p>
      <w:pPr>
        <w:pStyle w:val="Normal"/>
        <w:spacing w:before="0" w:after="120"/>
        <w:jc w:val="both"/>
        <w:rPr/>
      </w:pPr>
      <w:r>
        <w:rPr/>
        <w:t xml:space="preserve">Notas: los importes directos incluyen FOB + inland origen convertidos a Gs. a la cotización de cierre. Los compartidos se prorratean: flete y transporte-depósito por unidad (50%-50%); seguro, despacho </w:t>
      </w:r>
      <w:bookmarkStart w:id="0" w:name="_GoBack"/>
      <w:bookmarkEnd w:id="0"/>
      <w:r>
        <w:rPr/>
        <w:t>y gastos extras por FOB share. El resultado debe coincidir con tolerancia de 1 Gs. por ítem (redondeo).</w:t>
      </w:r>
    </w:p>
    <w:sectPr>
      <w:headerReference w:type="default" r:id="rId2"/>
      <w:footerReference w:type="default" r:id="rId3"/>
      <w:type w:val="nextPage"/>
      <w:pgSz w:w="11906" w:h="16838"/>
      <w:pgMar w:left="1440" w:right="1440" w:gutter="0" w:header="708" w:top="1440" w:footer="708"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Georgia">
    <w:charset w:val="01"/>
    <w:family w:val="roman"/>
    <w:pitch w:val="variable"/>
  </w:font>
  <w:font w:name="Liberation Sans">
    <w:altName w:val="Arial"/>
    <w:charset w:val="01"/>
    <w:family w:val="swiss"/>
    <w:pitch w:val="variable"/>
  </w:font>
  <w:font w:name="Consolas">
    <w:charset w:val="01"/>
    <w:family w:val="roman"/>
    <w:pitch w:val="variable"/>
  </w:font>
  <w:font w:name="Symbol">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right" w:pos="9026" w:leader="none"/>
      </w:tabs>
      <w:rPr/>
    </w:pPr>
    <w:r>
      <w:rPr>
        <w:i/>
        <w:iCs/>
        <w:color w:val="4A5568"/>
        <w:sz w:val="16"/>
        <w:szCs w:val="16"/>
      </w:rPr>
      <w:t>Confidencial · Uso interno · novasis</w:t>
    </w:r>
    <w:r>
      <w:rPr>
        <w:color w:val="4A5568"/>
        <w:sz w:val="16"/>
        <w:szCs w:val="16"/>
      </w:rPr>
      <w:tab/>
      <w:t xml:space="preserve">Página </w:t>
    </w:r>
    <w:r>
      <w:rPr>
        <w:b/>
        <w:bCs/>
        <w:color w:val="4A5568"/>
        <w:sz w:val="16"/>
        <w:szCs w:val="16"/>
      </w:rPr>
      <w:fldChar w:fldCharType="begin"/>
    </w:r>
    <w:r>
      <w:rPr>
        <w:sz w:val="16"/>
        <w:b/>
        <w:szCs w:val="16"/>
        <w:bCs/>
        <w:color w:val="4A5568"/>
      </w:rPr>
      <w:instrText xml:space="preserve"> PAGE </w:instrText>
    </w:r>
    <w:r>
      <w:rPr>
        <w:sz w:val="16"/>
        <w:b/>
        <w:szCs w:val="16"/>
        <w:bCs/>
        <w:color w:val="4A5568"/>
      </w:rPr>
      <w:fldChar w:fldCharType="separate"/>
    </w:r>
    <w:r>
      <w:rPr>
        <w:sz w:val="16"/>
        <w:b/>
        <w:szCs w:val="16"/>
        <w:bCs/>
        <w:color w:val="4A5568"/>
      </w:rPr>
      <w:t>35</w:t>
    </w:r>
    <w:r>
      <w:rPr>
        <w:sz w:val="16"/>
        <w:b/>
        <w:szCs w:val="16"/>
        <w:bCs/>
        <w:color w:val="4A5568"/>
      </w:rPr>
      <w:fldChar w:fldCharType="end"/>
    </w:r>
    <w:r>
      <w:rPr>
        <w:color w:val="4A5568"/>
        <w:sz w:val="16"/>
        <w:szCs w:val="16"/>
      </w:rPr>
      <w:t xml:space="preserve"> de </w:t>
    </w:r>
    <w:r>
      <w:rPr>
        <w:color w:val="4A5568"/>
        <w:sz w:val="16"/>
        <w:szCs w:val="16"/>
      </w:rPr>
      <w:fldChar w:fldCharType="begin"/>
    </w:r>
    <w:r>
      <w:rPr>
        <w:sz w:val="16"/>
        <w:szCs w:val="16"/>
        <w:color w:val="4A5568"/>
      </w:rPr>
      <w:instrText xml:space="preserve"> NUMPAGES </w:instrText>
    </w:r>
    <w:r>
      <w:rPr>
        <w:sz w:val="16"/>
        <w:szCs w:val="16"/>
        <w:color w:val="4A5568"/>
      </w:rPr>
      <w:fldChar w:fldCharType="separate"/>
    </w:r>
    <w:r>
      <w:rPr>
        <w:sz w:val="16"/>
        <w:szCs w:val="16"/>
        <w:color w:val="4A5568"/>
      </w:rPr>
      <w:t>35</w:t>
    </w:r>
    <w:r>
      <w:rPr>
        <w:sz w:val="16"/>
        <w:szCs w:val="16"/>
        <w:color w:val="4A5568"/>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right" w:pos="9026" w:leader="none"/>
      </w:tabs>
      <w:rPr/>
    </w:pPr>
    <w:r>
      <w:rPr>
        <w:i/>
        <w:iCs/>
        <w:color w:val="4A5568"/>
        <w:sz w:val="18"/>
        <w:szCs w:val="18"/>
      </w:rPr>
      <w:t>novasis  ·  Módulo de Importaciones</w:t>
    </w:r>
    <w:r>
      <w:rPr>
        <w:b/>
        <w:bCs/>
        <w:color w:val="B8892A"/>
        <w:spacing w:val="20"/>
        <w:sz w:val="18"/>
        <w:szCs w:val="18"/>
      </w:rPr>
      <w:tab/>
      <w:t>PRD v1.0 · Abril 2026</w:t>
    </w:r>
  </w:p>
  <w:p>
    <w:pPr>
      <w:pStyle w:val="Normal"/>
      <w:pBdr>
        <w:bottom w:val="single" w:sz="6" w:space="1" w:color="B8892A"/>
      </w:pBd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540" w:hanging="300"/>
      </w:pPr>
      <w:rPr>
        <w:rFonts w:ascii="Symbol" w:hAnsi="Symbol" w:cs="Symbol" w:hint="default"/>
      </w:rPr>
    </w:lvl>
    <w:lvl w:ilvl="1">
      <w:start w:val="1"/>
      <w:numFmt w:val="bullet"/>
      <w:lvlText w:val="◦"/>
      <w:lvlJc w:val="left"/>
      <w:pPr>
        <w:tabs>
          <w:tab w:val="num" w:pos="0"/>
        </w:tabs>
        <w:ind w:left="980" w:hanging="280"/>
      </w:pPr>
      <w:rPr>
        <w:rFonts w:ascii="OpenSymbol" w:hAnsi="OpenSymbol" w:cs="OpenSymbol" w:hint="default"/>
      </w:rPr>
    </w:lvl>
    <w:lvl w:ilvl="2">
      <w:start w:val="0"/>
      <w:numFmt w:val="decimal"/>
      <w:lvlText w:val=""/>
      <w:lvlJc w:val="left"/>
      <w:pPr>
        <w:tabs>
          <w:tab w:val="num" w:pos="0"/>
        </w:tabs>
        <w:ind w:left="0" w:hanging="0"/>
      </w:pPr>
      <w:rPr/>
    </w:lvl>
    <w:lvl w:ilvl="3">
      <w:start w:val="0"/>
      <w:numFmt w:val="decimal"/>
      <w:lvlText w:val=""/>
      <w:lvlJc w:val="left"/>
      <w:pPr>
        <w:tabs>
          <w:tab w:val="num" w:pos="0"/>
        </w:tabs>
        <w:ind w:left="0" w:hanging="0"/>
      </w:pPr>
      <w:rPr/>
    </w:lvl>
    <w:lvl w:ilvl="4">
      <w:start w:val="0"/>
      <w:numFmt w:val="decimal"/>
      <w:lvlText w:val=""/>
      <w:lvlJc w:val="left"/>
      <w:pPr>
        <w:tabs>
          <w:tab w:val="num" w:pos="0"/>
        </w:tabs>
        <w:ind w:left="0" w:hanging="0"/>
      </w:pPr>
      <w:rPr/>
    </w:lvl>
    <w:lvl w:ilvl="5">
      <w:start w:val="0"/>
      <w:numFmt w:val="decimal"/>
      <w:lvlText w:val=""/>
      <w:lvlJc w:val="left"/>
      <w:pPr>
        <w:tabs>
          <w:tab w:val="num" w:pos="0"/>
        </w:tabs>
        <w:ind w:left="0" w:hanging="0"/>
      </w:pPr>
      <w:rPr/>
    </w:lvl>
    <w:lvl w:ilvl="6">
      <w:start w:val="0"/>
      <w:numFmt w:val="decimal"/>
      <w:lvlText w:val=""/>
      <w:lvlJc w:val="left"/>
      <w:pPr>
        <w:tabs>
          <w:tab w:val="num" w:pos="0"/>
        </w:tabs>
        <w:ind w:left="0" w:hanging="0"/>
      </w:pPr>
      <w:rPr/>
    </w:lvl>
    <w:lvl w:ilvl="7">
      <w:start w:val="0"/>
      <w:numFmt w:val="decimal"/>
      <w:lvlText w:val=""/>
      <w:lvlJc w:val="left"/>
      <w:pPr>
        <w:tabs>
          <w:tab w:val="num" w:pos="0"/>
        </w:tabs>
        <w:ind w:left="0" w:hanging="0"/>
      </w:pPr>
      <w:rPr/>
    </w:lvl>
    <w:lvl w:ilvl="8">
      <w:start w:val="0"/>
      <w:numFmt w:val="decimal"/>
      <w:lvlText w:val=""/>
      <w:lvlJc w:val="left"/>
      <w:pPr>
        <w:tabs>
          <w:tab w:val="num" w:pos="0"/>
        </w:tabs>
        <w:ind w:left="0" w:hanging="0"/>
      </w:pPr>
      <w:rPr/>
    </w:lvl>
  </w:abstractNum>
  <w:abstractNum w:abstractNumId="2">
    <w:lvl w:ilvl="0">
      <w:start w:val="1"/>
      <w:numFmt w:val="decimal"/>
      <w:lvlText w:val="%1."/>
      <w:lvlJc w:val="left"/>
      <w:pPr>
        <w:tabs>
          <w:tab w:val="num" w:pos="0"/>
        </w:tabs>
        <w:ind w:left="540" w:hanging="360"/>
      </w:pPr>
      <w:rPr/>
    </w:lvl>
    <w:lvl w:ilvl="1">
      <w:start w:val="0"/>
      <w:numFmt w:val="decimal"/>
      <w:lvlText w:val=""/>
      <w:lvlJc w:val="left"/>
      <w:pPr>
        <w:tabs>
          <w:tab w:val="num" w:pos="0"/>
        </w:tabs>
        <w:ind w:left="0" w:hanging="0"/>
      </w:pPr>
      <w:rPr/>
    </w:lvl>
    <w:lvl w:ilvl="2">
      <w:start w:val="0"/>
      <w:numFmt w:val="decimal"/>
      <w:lvlText w:val=""/>
      <w:lvlJc w:val="left"/>
      <w:pPr>
        <w:tabs>
          <w:tab w:val="num" w:pos="0"/>
        </w:tabs>
        <w:ind w:left="0" w:hanging="0"/>
      </w:pPr>
      <w:rPr/>
    </w:lvl>
    <w:lvl w:ilvl="3">
      <w:start w:val="0"/>
      <w:numFmt w:val="decimal"/>
      <w:lvlText w:val=""/>
      <w:lvlJc w:val="left"/>
      <w:pPr>
        <w:tabs>
          <w:tab w:val="num" w:pos="0"/>
        </w:tabs>
        <w:ind w:left="0" w:hanging="0"/>
      </w:pPr>
      <w:rPr/>
    </w:lvl>
    <w:lvl w:ilvl="4">
      <w:start w:val="0"/>
      <w:numFmt w:val="decimal"/>
      <w:lvlText w:val=""/>
      <w:lvlJc w:val="left"/>
      <w:pPr>
        <w:tabs>
          <w:tab w:val="num" w:pos="0"/>
        </w:tabs>
        <w:ind w:left="0" w:hanging="0"/>
      </w:pPr>
      <w:rPr/>
    </w:lvl>
    <w:lvl w:ilvl="5">
      <w:start w:val="0"/>
      <w:numFmt w:val="decimal"/>
      <w:lvlText w:val=""/>
      <w:lvlJc w:val="left"/>
      <w:pPr>
        <w:tabs>
          <w:tab w:val="num" w:pos="0"/>
        </w:tabs>
        <w:ind w:left="0" w:hanging="0"/>
      </w:pPr>
      <w:rPr/>
    </w:lvl>
    <w:lvl w:ilvl="6">
      <w:start w:val="0"/>
      <w:numFmt w:val="decimal"/>
      <w:lvlText w:val=""/>
      <w:lvlJc w:val="left"/>
      <w:pPr>
        <w:tabs>
          <w:tab w:val="num" w:pos="0"/>
        </w:tabs>
        <w:ind w:left="0" w:hanging="0"/>
      </w:pPr>
      <w:rPr/>
    </w:lvl>
    <w:lvl w:ilvl="7">
      <w:start w:val="0"/>
      <w:numFmt w:val="decimal"/>
      <w:lvlText w:val=""/>
      <w:lvlJc w:val="left"/>
      <w:pPr>
        <w:tabs>
          <w:tab w:val="num" w:pos="0"/>
        </w:tabs>
        <w:ind w:left="0" w:hanging="0"/>
      </w:pPr>
      <w:rPr/>
    </w:lvl>
    <w:lvl w:ilvl="8">
      <w:start w:val="0"/>
      <w:numFmt w:val="decimal"/>
      <w:lvlText w:val=""/>
      <w:lvlJc w:val="left"/>
      <w:pPr>
        <w:tabs>
          <w:tab w:val="num" w:pos="0"/>
        </w:tabs>
        <w:ind w:left="0" w:hanging="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1"/>
    <w:lvlOverride w:ilvl="0">
      <w:startOverride w:val="1"/>
    </w:lvlOverride>
  </w:num>
  <w:num w:numId="5">
    <w:abstractNumId w:val="2"/>
    <w:lvlOverride w:ilvl="0">
      <w:startOverride w:val="1"/>
    </w:lvlOverride>
  </w:num>
</w:numbering>
</file>

<file path=word/settings.xml><?xml version="1.0" encoding="utf-8"?>
<w:settings xmlns:w="http://schemas.openxmlformats.org/wordprocessingml/2006/main">
  <w:zoom w:percent="17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s-PY"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es-PY" w:eastAsia="es-ES_tradnl"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before="0" w:after="0"/>
      <w:jc w:val="left"/>
    </w:pPr>
    <w:rPr>
      <w:rFonts w:ascii="Calibri" w:hAnsi="Calibri" w:eastAsia="Calibri" w:cs="Calibri"/>
      <w:color w:val="auto"/>
      <w:kern w:val="0"/>
      <w:sz w:val="22"/>
      <w:szCs w:val="22"/>
      <w:lang w:val="es-PY" w:eastAsia="es-ES_tradnl" w:bidi="ar-SA"/>
    </w:rPr>
  </w:style>
  <w:style w:type="paragraph" w:styleId="Heading1">
    <w:name w:val="Heading 1"/>
    <w:uiPriority w:val="9"/>
    <w:qFormat/>
    <w:pPr>
      <w:widowControl/>
      <w:bidi w:val="0"/>
      <w:spacing w:before="360" w:after="180"/>
      <w:jc w:val="left"/>
      <w:outlineLvl w:val="0"/>
    </w:pPr>
    <w:rPr>
      <w:rFonts w:ascii="Georgia" w:hAnsi="Georgia" w:eastAsia="Georgia" w:cs="Georgia"/>
      <w:b/>
      <w:bCs/>
      <w:color w:val="0B1F3A"/>
      <w:kern w:val="0"/>
      <w:sz w:val="40"/>
      <w:szCs w:val="40"/>
      <w:lang w:val="es-PY" w:eastAsia="es-ES_tradnl" w:bidi="ar-SA"/>
    </w:rPr>
  </w:style>
  <w:style w:type="paragraph" w:styleId="Heading2">
    <w:name w:val="Heading 2"/>
    <w:uiPriority w:val="9"/>
    <w:unhideWhenUsed/>
    <w:qFormat/>
    <w:pPr>
      <w:widowControl/>
      <w:bidi w:val="0"/>
      <w:spacing w:before="280" w:after="140"/>
      <w:jc w:val="left"/>
      <w:outlineLvl w:val="1"/>
    </w:pPr>
    <w:rPr>
      <w:rFonts w:ascii="Georgia" w:hAnsi="Georgia" w:eastAsia="Georgia" w:cs="Georgia"/>
      <w:b/>
      <w:bCs/>
      <w:color w:val="14294C"/>
      <w:kern w:val="0"/>
      <w:sz w:val="28"/>
      <w:szCs w:val="28"/>
      <w:lang w:val="es-PY" w:eastAsia="es-ES_tradnl" w:bidi="ar-SA"/>
    </w:rPr>
  </w:style>
  <w:style w:type="paragraph" w:styleId="Heading3">
    <w:name w:val="Heading 3"/>
    <w:uiPriority w:val="9"/>
    <w:unhideWhenUsed/>
    <w:qFormat/>
    <w:pPr>
      <w:widowControl/>
      <w:bidi w:val="0"/>
      <w:spacing w:before="220" w:after="100"/>
      <w:jc w:val="left"/>
      <w:outlineLvl w:val="2"/>
    </w:pPr>
    <w:rPr>
      <w:rFonts w:ascii="Calibri" w:hAnsi="Calibri" w:eastAsia="Calibri" w:cs="Calibri"/>
      <w:b/>
      <w:bCs/>
      <w:color w:val="B8892A"/>
      <w:kern w:val="0"/>
      <w:sz w:val="24"/>
      <w:szCs w:val="24"/>
      <w:lang w:val="es-PY" w:eastAsia="es-ES_tradnl" w:bidi="ar-SA"/>
    </w:rPr>
  </w:style>
  <w:style w:type="paragraph" w:styleId="Heading4">
    <w:name w:val="Heading 4"/>
    <w:uiPriority w:val="9"/>
    <w:semiHidden/>
    <w:unhideWhenUsed/>
    <w:qFormat/>
    <w:pPr>
      <w:widowControl/>
      <w:bidi w:val="0"/>
      <w:spacing w:before="0" w:after="0"/>
      <w:jc w:val="left"/>
      <w:outlineLvl w:val="3"/>
    </w:pPr>
    <w:rPr>
      <w:rFonts w:ascii="Calibri" w:hAnsi="Calibri" w:eastAsia="Calibri" w:cs="Calibri"/>
      <w:i/>
      <w:iCs/>
      <w:color w:val="2E74B5"/>
      <w:kern w:val="0"/>
      <w:sz w:val="22"/>
      <w:szCs w:val="22"/>
      <w:lang w:val="es-PY" w:eastAsia="es-ES_tradnl" w:bidi="ar-SA"/>
    </w:rPr>
  </w:style>
  <w:style w:type="paragraph" w:styleId="Heading5">
    <w:name w:val="Heading 5"/>
    <w:uiPriority w:val="9"/>
    <w:semiHidden/>
    <w:unhideWhenUsed/>
    <w:qFormat/>
    <w:pPr>
      <w:widowControl/>
      <w:bidi w:val="0"/>
      <w:spacing w:before="0" w:after="0"/>
      <w:jc w:val="left"/>
      <w:outlineLvl w:val="4"/>
    </w:pPr>
    <w:rPr>
      <w:rFonts w:ascii="Calibri" w:hAnsi="Calibri" w:eastAsia="Calibri" w:cs="Calibri"/>
      <w:color w:val="2E74B5"/>
      <w:kern w:val="0"/>
      <w:sz w:val="22"/>
      <w:szCs w:val="22"/>
      <w:lang w:val="es-PY" w:eastAsia="es-ES_tradnl" w:bidi="ar-SA"/>
    </w:rPr>
  </w:style>
  <w:style w:type="paragraph" w:styleId="Heading6">
    <w:name w:val="Heading 6"/>
    <w:uiPriority w:val="9"/>
    <w:semiHidden/>
    <w:unhideWhenUsed/>
    <w:qFormat/>
    <w:pPr>
      <w:widowControl/>
      <w:bidi w:val="0"/>
      <w:spacing w:before="0" w:after="0"/>
      <w:jc w:val="left"/>
      <w:outlineLvl w:val="5"/>
    </w:pPr>
    <w:rPr>
      <w:rFonts w:ascii="Calibri" w:hAnsi="Calibri" w:eastAsia="Calibri" w:cs="Calibri"/>
      <w:color w:val="1F4D78"/>
      <w:kern w:val="0"/>
      <w:sz w:val="22"/>
      <w:szCs w:val="22"/>
      <w:lang w:val="es-PY" w:eastAsia="es-ES_tradnl" w:bidi="ar-SA"/>
    </w:rPr>
  </w:style>
  <w:style w:type="character" w:styleId="DefaultParagraphFont" w:default="1">
    <w:name w:val="Default Paragraph Font"/>
    <w:uiPriority w:val="1"/>
    <w:semiHidden/>
    <w:unhideWhenUsed/>
    <w:qFormat/>
    <w:rPr/>
  </w:style>
  <w:style w:type="character" w:styleId="Hyperlink">
    <w:name w:val="Hyper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styleId="TextonotapieCar" w:customStyle="1">
    <w:name w:val="Texto nota pie Car"/>
    <w:link w:val="FootnoteText"/>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styleId="TextonotaalfinalCar" w:customStyle="1">
    <w:name w:val="Texto nota al final Car"/>
    <w:link w:val="EndnoteText"/>
    <w:uiPriority w:val="99"/>
    <w:semiHidden/>
    <w:unhideWhenUsed/>
    <w:qFormat/>
    <w:rPr>
      <w:sz w:val="20"/>
      <w:szCs w:val="20"/>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Title">
    <w:name w:val="Title"/>
    <w:uiPriority w:val="10"/>
    <w:qFormat/>
    <w:pPr>
      <w:widowControl/>
      <w:bidi w:val="0"/>
      <w:spacing w:before="0" w:after="0"/>
      <w:jc w:val="left"/>
    </w:pPr>
    <w:rPr>
      <w:rFonts w:ascii="Calibri" w:hAnsi="Calibri" w:eastAsia="Calibri" w:cs="Calibri"/>
      <w:color w:val="auto"/>
      <w:kern w:val="0"/>
      <w:sz w:val="56"/>
      <w:szCs w:val="56"/>
      <w:lang w:val="es-PY" w:eastAsia="es-ES_tradnl" w:bidi="ar-SA"/>
    </w:rPr>
  </w:style>
  <w:style w:type="paragraph" w:styleId="Textoennegrita1" w:customStyle="1">
    <w:name w:val="Texto en negrita1"/>
    <w:qFormat/>
    <w:pPr>
      <w:widowControl/>
      <w:bidi w:val="0"/>
      <w:spacing w:before="0" w:after="0"/>
      <w:jc w:val="left"/>
    </w:pPr>
    <w:rPr>
      <w:rFonts w:ascii="Calibri" w:hAnsi="Calibri" w:eastAsia="Calibri" w:cs="Calibri"/>
      <w:b/>
      <w:bCs/>
      <w:color w:val="auto"/>
      <w:kern w:val="0"/>
      <w:sz w:val="22"/>
      <w:szCs w:val="22"/>
      <w:lang w:val="es-PY" w:eastAsia="es-ES_tradnl" w:bidi="ar-SA"/>
    </w:rPr>
  </w:style>
  <w:style w:type="paragraph" w:styleId="ListParagraph">
    <w:name w:val="List Paragraph"/>
    <w:qFormat/>
    <w:pPr>
      <w:widowControl/>
      <w:bidi w:val="0"/>
      <w:spacing w:before="0" w:after="0"/>
      <w:jc w:val="left"/>
    </w:pPr>
    <w:rPr>
      <w:rFonts w:ascii="Calibri" w:hAnsi="Calibri" w:eastAsia="Calibri" w:cs="Calibri"/>
      <w:color w:val="auto"/>
      <w:kern w:val="0"/>
      <w:sz w:val="22"/>
      <w:szCs w:val="22"/>
      <w:lang w:val="es-PY" w:eastAsia="es-ES_tradnl" w:bidi="ar-SA"/>
    </w:rPr>
  </w:style>
  <w:style w:type="paragraph" w:styleId="FootnoteText">
    <w:name w:val="Footnote Text"/>
    <w:link w:val="TextonotapieCar"/>
    <w:uiPriority w:val="99"/>
    <w:semiHidden/>
    <w:unhideWhenUsed/>
    <w:pPr>
      <w:widowControl/>
      <w:bidi w:val="0"/>
      <w:spacing w:before="0" w:after="0"/>
      <w:jc w:val="left"/>
    </w:pPr>
    <w:rPr>
      <w:rFonts w:ascii="Calibri" w:hAnsi="Calibri" w:eastAsia="Calibri" w:cs="Calibri"/>
      <w:color w:val="auto"/>
      <w:kern w:val="0"/>
      <w:sz w:val="20"/>
      <w:szCs w:val="20"/>
      <w:lang w:val="es-PY" w:eastAsia="es-ES_tradnl" w:bidi="ar-SA"/>
    </w:rPr>
  </w:style>
  <w:style w:type="paragraph" w:styleId="EndnoteText">
    <w:name w:val="Endnote Text"/>
    <w:link w:val="TextonotaalfinalCar"/>
    <w:uiPriority w:val="99"/>
    <w:semiHidden/>
    <w:unhideWhenUsed/>
    <w:pPr>
      <w:widowControl/>
      <w:bidi w:val="0"/>
      <w:spacing w:before="0" w:after="0"/>
      <w:jc w:val="left"/>
    </w:pPr>
    <w:rPr>
      <w:rFonts w:ascii="Calibri" w:hAnsi="Calibri" w:eastAsia="Calibri" w:cs="Calibri"/>
      <w:color w:val="auto"/>
      <w:kern w:val="0"/>
      <w:sz w:val="20"/>
      <w:szCs w:val="20"/>
      <w:lang w:val="es-PY" w:eastAsia="es-ES_tradnl" w:bidi="ar-SA"/>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TotalTime>
  <Application>LibreOffice/24.2.7.2$Linux_X86_64 LibreOffice_project/420$Build-2</Application>
  <AppVersion>15.0000</AppVersion>
  <Pages>35</Pages>
  <Words>6576</Words>
  <Characters>34657</Characters>
  <CharactersWithSpaces>39997</CharactersWithSpaces>
  <Paragraphs>1116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2026-04-20T16:48:00Z</dcterms:created>
  <dc:creator>code100</dc:creator>
  <dc:description>Especificación funcional y técnica del Módulo de Importaciones.</dc:description>
  <dc:language>es-ES</dc:language>
  <cp:lastModifiedBy/>
  <cp:lastPrinted>2026-04-23T19:39:29Z</cp:lastPrinted>
  <dcterms:modified xsi:type="dcterms:W3CDTF">2026-04-23T19:39:40Z</dcterms:modified>
  <cp:revision>3</cp:revision>
  <dc:subject/>
  <dc:title>code100 · Módulo de Importaciones · PRD v1.0</dc:title>
</cp:coreProperties>
</file>

<file path=docProps/custom.xml><?xml version="1.0" encoding="utf-8"?>
<Properties xmlns="http://schemas.openxmlformats.org/officeDocument/2006/custom-properties" xmlns:vt="http://schemas.openxmlformats.org/officeDocument/2006/docPropsVTypes"/>
</file>